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2" w:firstLineChars="200"/>
        <w:jc w:val="center"/>
        <w:rPr>
          <w:rFonts w:eastAsia="仿宋_GB2312"/>
          <w:color w:val="FF0000"/>
          <w:w w:val="66"/>
          <w:kern w:val="15"/>
          <w:sz w:val="32"/>
          <w:szCs w:val="32"/>
        </w:rPr>
      </w:pPr>
    </w:p>
    <w:p>
      <w:pPr>
        <w:ind w:firstLine="422" w:firstLineChars="200"/>
        <w:jc w:val="center"/>
        <w:rPr>
          <w:rFonts w:eastAsia="仿宋_GB2312"/>
          <w:color w:val="FF0000"/>
          <w:w w:val="66"/>
          <w:kern w:val="15"/>
          <w:sz w:val="32"/>
          <w:szCs w:val="32"/>
        </w:rPr>
      </w:pPr>
    </w:p>
    <w:p>
      <w:pPr>
        <w:ind w:firstLine="276" w:firstLineChars="200"/>
        <w:jc w:val="center"/>
        <w:rPr>
          <w:rFonts w:eastAsia="仿宋_GB2312"/>
          <w:color w:val="FF0000"/>
          <w:w w:val="66"/>
          <w:kern w:val="15"/>
          <w:szCs w:val="21"/>
        </w:rPr>
      </w:pPr>
    </w:p>
    <w:p>
      <w:pPr>
        <w:spacing w:beforeLines="60"/>
        <w:ind w:firstLine="1162" w:firstLineChars="200"/>
        <w:jc w:val="center"/>
        <w:rPr>
          <w:rFonts w:eastAsia="仿宋_GB2312"/>
          <w:color w:val="FF0000"/>
          <w:spacing w:val="-26"/>
          <w:w w:val="66"/>
          <w:kern w:val="15"/>
          <w:sz w:val="96"/>
          <w:szCs w:val="96"/>
        </w:rPr>
      </w:pPr>
    </w:p>
    <w:p>
      <w:pPr>
        <w:spacing w:line="400" w:lineRule="exact"/>
        <w:ind w:firstLine="640" w:firstLineChars="200"/>
        <w:jc w:val="center"/>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center"/>
        <w:textAlignment w:val="auto"/>
        <w:rPr>
          <w:rFonts w:eastAsia="仿宋_GB2312"/>
          <w:sz w:val="32"/>
          <w:szCs w:val="32"/>
        </w:rPr>
      </w:pPr>
    </w:p>
    <w:p>
      <w:pPr>
        <w:spacing w:line="600" w:lineRule="exact"/>
        <w:jc w:val="center"/>
        <w:rPr>
          <w:sz w:val="32"/>
        </w:rPr>
      </w:pPr>
      <w:r>
        <w:rPr>
          <w:rFonts w:hint="eastAsia" w:eastAsia="仿宋_GB2312"/>
          <w:sz w:val="32"/>
          <w:szCs w:val="32"/>
        </w:rPr>
        <w:t>津</w:t>
      </w:r>
      <w:r>
        <w:rPr>
          <w:rFonts w:hint="eastAsia" w:eastAsia="仿宋_GB2312"/>
          <w:sz w:val="32"/>
          <w:szCs w:val="32"/>
          <w:lang w:eastAsia="zh-CN"/>
        </w:rPr>
        <w:t>道</w:t>
      </w:r>
      <w:r>
        <w:rPr>
          <w:rFonts w:hint="default" w:ascii="Times New Roman" w:hAnsi="Times New Roman" w:eastAsia="仿宋_GB2312" w:cs="Times New Roman"/>
          <w:sz w:val="32"/>
          <w:szCs w:val="32"/>
          <w:lang w:eastAsia="zh-CN"/>
        </w:rPr>
        <w:t>运</w:t>
      </w:r>
      <w:r>
        <w:rPr>
          <w:rFonts w:hint="default" w:ascii="Times New Roman" w:hAnsi="Times New Roman" w:eastAsia="仿宋_GB2312" w:cs="Times New Roman"/>
          <w:sz w:val="32"/>
          <w:szCs w:val="32"/>
        </w:rPr>
        <w:t>规</w:t>
      </w:r>
      <w:r>
        <w:rPr>
          <w:rFonts w:eastAsia="仿宋_GB2312"/>
          <w:sz w:val="32"/>
        </w:rPr>
        <w:t>〔20</w:t>
      </w:r>
      <w:r>
        <w:rPr>
          <w:rFonts w:hint="eastAsia" w:eastAsia="仿宋_GB2312"/>
          <w:sz w:val="32"/>
        </w:rPr>
        <w:t>2</w:t>
      </w:r>
      <w:r>
        <w:rPr>
          <w:rFonts w:hint="eastAsia" w:eastAsia="仿宋_GB2312"/>
          <w:sz w:val="32"/>
          <w:lang w:val="en-US" w:eastAsia="zh-CN"/>
        </w:rPr>
        <w:t>1</w:t>
      </w:r>
      <w:r>
        <w:rPr>
          <w:rFonts w:eastAsia="仿宋_GB2312"/>
          <w:sz w:val="32"/>
        </w:rPr>
        <w:t>〕</w:t>
      </w:r>
      <w:r>
        <w:rPr>
          <w:rFonts w:hint="eastAsia" w:eastAsia="仿宋_GB2312"/>
          <w:sz w:val="32"/>
          <w:lang w:val="en-US" w:eastAsia="zh-CN"/>
        </w:rPr>
        <w:t>8</w:t>
      </w:r>
      <w:r>
        <w:rPr>
          <w:rFonts w:eastAsia="仿宋_GB2312"/>
          <w:sz w:val="32"/>
        </w:rPr>
        <w:t>号</w:t>
      </w:r>
    </w:p>
    <w:p>
      <w:pPr>
        <w:spacing w:line="560" w:lineRule="exact"/>
        <w:ind w:firstLine="640" w:firstLineChars="200"/>
        <w:jc w:val="center"/>
        <w:rPr>
          <w:sz w:val="32"/>
        </w:rPr>
      </w:pPr>
    </w:p>
    <w:p>
      <w:pPr>
        <w:keepNext w:val="0"/>
        <w:keepLines w:val="0"/>
        <w:pageBreakBefore w:val="0"/>
        <w:widowControl w:val="0"/>
        <w:kinsoku/>
        <w:wordWrap/>
        <w:overflowPunct/>
        <w:topLinePunct w:val="0"/>
        <w:autoSpaceDE/>
        <w:autoSpaceDN/>
        <w:bidi w:val="0"/>
        <w:adjustRightInd/>
        <w:snapToGrid/>
        <w:spacing w:line="480" w:lineRule="exact"/>
        <w:ind w:firstLine="880" w:firstLineChars="200"/>
        <w:jc w:val="center"/>
        <w:textAlignment w:val="auto"/>
        <w:rPr>
          <w:rFonts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20" w:lineRule="exact"/>
        <w:ind w:firstLineChars="45"/>
        <w:jc w:val="center"/>
        <w:textAlignment w:val="auto"/>
        <w:rPr>
          <w:rFonts w:eastAsia="方正小标宋简体"/>
          <w:bCs/>
          <w:sz w:val="44"/>
          <w:szCs w:val="44"/>
        </w:rPr>
      </w:pPr>
      <w:bookmarkStart w:id="0" w:name="OLE_LINK1"/>
      <w:r>
        <w:rPr>
          <w:rFonts w:eastAsia="方正小标宋简体"/>
          <w:sz w:val="44"/>
          <w:szCs w:val="44"/>
        </w:rPr>
        <w:t>天津市</w:t>
      </w:r>
      <w:r>
        <w:rPr>
          <w:rFonts w:hint="eastAsia" w:eastAsia="方正小标宋简体"/>
          <w:sz w:val="44"/>
          <w:szCs w:val="44"/>
          <w:lang w:eastAsia="zh-CN"/>
        </w:rPr>
        <w:t>道路运输管理局</w:t>
      </w:r>
      <w:r>
        <w:rPr>
          <w:rFonts w:eastAsia="方正小标宋简体"/>
          <w:bCs/>
          <w:color w:val="000000"/>
          <w:kern w:val="0"/>
          <w:sz w:val="44"/>
          <w:szCs w:val="44"/>
        </w:rPr>
        <w:t>关于印发</w:t>
      </w:r>
      <w:r>
        <w:rPr>
          <w:rFonts w:hint="eastAsia" w:eastAsia="方正小标宋简体"/>
          <w:bCs/>
          <w:sz w:val="44"/>
          <w:szCs w:val="44"/>
        </w:rPr>
        <w:t>天津市公共</w:t>
      </w:r>
    </w:p>
    <w:p>
      <w:pPr>
        <w:keepNext w:val="0"/>
        <w:keepLines w:val="0"/>
        <w:pageBreakBefore w:val="0"/>
        <w:widowControl w:val="0"/>
        <w:kinsoku/>
        <w:wordWrap/>
        <w:overflowPunct/>
        <w:topLinePunct w:val="0"/>
        <w:autoSpaceDE/>
        <w:autoSpaceDN/>
        <w:bidi w:val="0"/>
        <w:adjustRightInd/>
        <w:snapToGrid/>
        <w:spacing w:line="520" w:lineRule="exact"/>
        <w:ind w:firstLineChars="45"/>
        <w:jc w:val="center"/>
        <w:textAlignment w:val="auto"/>
        <w:rPr>
          <w:rFonts w:eastAsia="方正小标宋简体"/>
          <w:bCs/>
          <w:sz w:val="44"/>
          <w:szCs w:val="44"/>
        </w:rPr>
      </w:pPr>
      <w:r>
        <w:rPr>
          <w:rFonts w:hint="eastAsia" w:eastAsia="方正小标宋简体"/>
          <w:bCs/>
          <w:sz w:val="44"/>
          <w:szCs w:val="44"/>
        </w:rPr>
        <w:t>汽（电）车运营服务质量评议考核</w:t>
      </w:r>
    </w:p>
    <w:p>
      <w:pPr>
        <w:pStyle w:val="4"/>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eastAsia="方正小标宋简体"/>
          <w:sz w:val="44"/>
          <w:szCs w:val="44"/>
          <w:lang w:eastAsia="zh-CN"/>
        </w:rPr>
      </w:pPr>
      <w:r>
        <w:rPr>
          <w:rFonts w:hint="eastAsia" w:eastAsia="方正小标宋简体"/>
          <w:bCs/>
          <w:sz w:val="44"/>
          <w:szCs w:val="44"/>
        </w:rPr>
        <w:t>办法</w:t>
      </w:r>
      <w:r>
        <w:rPr>
          <w:rFonts w:hint="eastAsia" w:eastAsia="方正小标宋简体"/>
          <w:bCs/>
          <w:sz w:val="44"/>
          <w:szCs w:val="44"/>
          <w:lang w:eastAsia="zh-CN"/>
        </w:rPr>
        <w:t>的</w:t>
      </w:r>
      <w:r>
        <w:rPr>
          <w:rFonts w:hint="eastAsia" w:eastAsia="方正小标宋简体"/>
          <w:sz w:val="44"/>
          <w:szCs w:val="44"/>
          <w:lang w:eastAsia="zh-CN"/>
        </w:rPr>
        <w:t>通知</w:t>
      </w:r>
    </w:p>
    <w:p>
      <w:pPr>
        <w:pStyle w:val="4"/>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方正小标宋简体" w:hAnsi="Times New Roman" w:eastAsia="方正小标宋简体" w:cs="Times New Roman"/>
          <w:sz w:val="44"/>
          <w:szCs w:val="44"/>
        </w:rPr>
      </w:pPr>
    </w:p>
    <w:bookmarkEnd w:id="0"/>
    <w:p>
      <w:pPr>
        <w:keepNext w:val="0"/>
        <w:keepLines w:val="0"/>
        <w:pageBreakBefore w:val="0"/>
        <w:widowControl w:val="0"/>
        <w:kinsoku/>
        <w:wordWrap/>
        <w:overflowPunct/>
        <w:topLinePunct w:val="0"/>
        <w:autoSpaceDE/>
        <w:autoSpaceDN/>
        <w:bidi w:val="0"/>
        <w:adjustRightInd/>
        <w:snapToGrid/>
        <w:spacing w:line="540" w:lineRule="exact"/>
        <w:textAlignment w:val="auto"/>
        <w:rPr>
          <w:rFonts w:eastAsia="仿宋_GB2312"/>
          <w:sz w:val="32"/>
          <w:szCs w:val="32"/>
        </w:rPr>
      </w:pPr>
      <w:r>
        <w:rPr>
          <w:rFonts w:eastAsia="仿宋_GB2312"/>
          <w:sz w:val="32"/>
          <w:szCs w:val="32"/>
        </w:rPr>
        <w:t>各区交通运输主管部门、各</w:t>
      </w:r>
      <w:r>
        <w:rPr>
          <w:rFonts w:hint="eastAsia" w:eastAsia="仿宋_GB2312"/>
          <w:sz w:val="32"/>
          <w:szCs w:val="32"/>
        </w:rPr>
        <w:t>公交企业、各有关单位</w:t>
      </w:r>
      <w:r>
        <w:rPr>
          <w:rFonts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sz w:val="32"/>
          <w:szCs w:val="32"/>
        </w:rPr>
      </w:pPr>
      <w:r>
        <w:rPr>
          <w:rFonts w:hint="eastAsia" w:eastAsia="仿宋_GB2312"/>
          <w:sz w:val="32"/>
          <w:szCs w:val="32"/>
        </w:rPr>
        <w:t>现将修订后的</w:t>
      </w:r>
      <w:r>
        <w:rPr>
          <w:rFonts w:eastAsia="仿宋_GB2312"/>
          <w:sz w:val="32"/>
          <w:szCs w:val="32"/>
        </w:rPr>
        <w:t>《天津市公共汽（电）车运营服务质量评议考核办法》</w:t>
      </w:r>
      <w:r>
        <w:rPr>
          <w:rFonts w:hint="eastAsia" w:eastAsia="仿宋_GB2312"/>
          <w:sz w:val="32"/>
          <w:szCs w:val="32"/>
        </w:rPr>
        <w:t>印发给你们，</w:t>
      </w:r>
      <w:r>
        <w:rPr>
          <w:rFonts w:eastAsia="仿宋_GB2312"/>
          <w:sz w:val="32"/>
          <w:szCs w:val="32"/>
        </w:rPr>
        <w:t>请认真贯彻执行。</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仿宋_GB2312"/>
          <w:sz w:val="32"/>
          <w:szCs w:val="32"/>
          <w:lang w:val="en-US" w:eastAsia="zh-CN"/>
        </w:rPr>
      </w:pPr>
      <w:r>
        <w:rPr>
          <w:rFonts w:hint="eastAsia" w:eastAsia="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96" w:firstLineChars="200"/>
        <w:textAlignment w:val="auto"/>
        <w:rPr>
          <w:rFonts w:hint="default"/>
          <w:spacing w:val="-20"/>
          <w:lang w:val="en-US" w:eastAsia="zh-CN"/>
        </w:rPr>
      </w:pPr>
      <w:r>
        <w:rPr>
          <w:rFonts w:hint="eastAsia" w:eastAsia="仿宋_GB2312"/>
          <w:spacing w:val="-11"/>
          <w:sz w:val="32"/>
          <w:szCs w:val="32"/>
          <w:lang w:val="en-US" w:eastAsia="zh-CN"/>
        </w:rPr>
        <w:t>附件：天津市公共汽（电）车运营服务质量考核指标及评分标准</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eastAsia="仿宋_GB2312"/>
          <w:sz w:val="32"/>
          <w:szCs w:val="32"/>
        </w:rPr>
      </w:pPr>
    </w:p>
    <w:p>
      <w:pPr>
        <w:pStyle w:val="2"/>
        <w:keepLines w:val="0"/>
        <w:pageBreakBefore w:val="0"/>
        <w:widowControl w:val="0"/>
        <w:kinsoku/>
        <w:wordWrap/>
        <w:overflowPunct/>
        <w:topLinePunct w:val="0"/>
        <w:autoSpaceDE/>
        <w:autoSpaceDN/>
        <w:bidi w:val="0"/>
        <w:adjustRightInd/>
        <w:snapToGrid/>
        <w:spacing w:line="540" w:lineRule="exact"/>
        <w:textAlignment w:val="auto"/>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eastAsia="仿宋_GB2312"/>
          <w:sz w:val="32"/>
          <w:szCs w:val="32"/>
        </w:rPr>
      </w:pPr>
      <w:r>
        <w:rPr>
          <w:rFonts w:hint="eastAsia" w:eastAsia="仿宋_GB2312"/>
          <w:sz w:val="32"/>
          <w:szCs w:val="32"/>
        </w:rPr>
        <w:t xml:space="preserve">                                202</w:t>
      </w:r>
      <w:r>
        <w:rPr>
          <w:rFonts w:hint="eastAsia" w:eastAsia="仿宋_GB2312"/>
          <w:sz w:val="32"/>
          <w:szCs w:val="32"/>
          <w:lang w:val="en-US" w:eastAsia="zh-CN"/>
        </w:rPr>
        <w:t>1</w:t>
      </w:r>
      <w:r>
        <w:rPr>
          <w:rFonts w:hint="eastAsia" w:eastAsia="仿宋_GB2312"/>
          <w:sz w:val="32"/>
          <w:szCs w:val="32"/>
        </w:rPr>
        <w:t>年</w:t>
      </w:r>
      <w:r>
        <w:rPr>
          <w:rFonts w:hint="eastAsia" w:eastAsia="仿宋_GB2312"/>
          <w:sz w:val="32"/>
          <w:szCs w:val="32"/>
          <w:lang w:val="en-US" w:eastAsia="zh-CN"/>
        </w:rPr>
        <w:t>1</w:t>
      </w:r>
      <w:r>
        <w:rPr>
          <w:rFonts w:hint="eastAsia" w:eastAsia="仿宋_GB2312"/>
          <w:sz w:val="32"/>
          <w:szCs w:val="32"/>
        </w:rPr>
        <w:t>月</w:t>
      </w:r>
      <w:r>
        <w:rPr>
          <w:rFonts w:hint="eastAsia" w:eastAsia="仿宋_GB2312"/>
          <w:sz w:val="32"/>
          <w:szCs w:val="32"/>
          <w:lang w:val="en-US" w:eastAsia="zh-CN"/>
        </w:rPr>
        <w:t>15</w:t>
      </w:r>
      <w:r>
        <w:rPr>
          <w:rFonts w:hint="eastAsia" w:eastAsia="仿宋_GB2312"/>
          <w:sz w:val="32"/>
          <w:szCs w:val="32"/>
        </w:rPr>
        <w:t>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_GB2312" w:cs="Times New Roman"/>
          <w:color w:val="000000" w:themeColor="text1"/>
          <w:kern w:val="36"/>
          <w:sz w:val="32"/>
          <w:szCs w:val="32"/>
        </w:rPr>
      </w:pPr>
      <w:r>
        <w:rPr>
          <w:rFonts w:hint="eastAsia" w:eastAsia="仿宋_GB2312"/>
          <w:sz w:val="32"/>
          <w:szCs w:val="32"/>
          <w:lang w:eastAsia="zh-CN"/>
        </w:rPr>
        <w:t>　　</w:t>
      </w:r>
    </w:p>
    <w:p>
      <w:pPr>
        <w:spacing w:line="700" w:lineRule="exact"/>
        <w:ind w:firstLine="0" w:firstLineChars="0"/>
        <w:jc w:val="left"/>
        <w:rPr>
          <w:rFonts w:hint="eastAsia" w:ascii="黑体" w:hAnsi="黑体" w:eastAsia="黑体" w:cs="黑体"/>
          <w:sz w:val="32"/>
          <w:szCs w:val="32"/>
          <w:lang w:eastAsia="zh-CN"/>
        </w:rPr>
      </w:pPr>
      <w:bookmarkStart w:id="1" w:name="_GoBack"/>
      <w:r>
        <w:rPr>
          <w:rFonts w:hint="eastAsia" w:ascii="黑体" w:hAnsi="黑体" w:eastAsia="黑体" w:cs="黑体"/>
          <w:sz w:val="32"/>
          <w:szCs w:val="32"/>
          <w:lang w:eastAsia="zh-CN"/>
        </w:rPr>
        <w:t>附件</w:t>
      </w:r>
    </w:p>
    <w:bookmarkEnd w:id="1"/>
    <w:p>
      <w:pPr>
        <w:spacing w:line="700" w:lineRule="exact"/>
        <w:ind w:firstLine="0" w:firstLineChars="0"/>
        <w:jc w:val="center"/>
        <w:rPr>
          <w:rFonts w:ascii="方正小标宋简体" w:hAnsi="宋体" w:eastAsia="方正小标宋简体"/>
          <w:sz w:val="44"/>
          <w:szCs w:val="44"/>
        </w:rPr>
      </w:pPr>
      <w:r>
        <w:rPr>
          <w:rFonts w:hint="eastAsia" w:ascii="方正小标宋简体" w:hAnsi="宋体" w:eastAsia="方正小标宋简体"/>
          <w:sz w:val="44"/>
          <w:szCs w:val="44"/>
        </w:rPr>
        <w:t>天津市公共汽（电）车运营服务质量</w:t>
      </w:r>
    </w:p>
    <w:p>
      <w:pPr>
        <w:spacing w:line="700" w:lineRule="exact"/>
        <w:ind w:firstLine="0" w:firstLineChars="0"/>
        <w:jc w:val="center"/>
        <w:rPr>
          <w:rFonts w:ascii="方正小标宋简体" w:hAnsi="宋体" w:eastAsia="方正小标宋简体"/>
          <w:sz w:val="44"/>
          <w:szCs w:val="44"/>
        </w:rPr>
      </w:pPr>
      <w:r>
        <w:rPr>
          <w:rFonts w:hint="eastAsia" w:ascii="方正小标宋简体" w:hAnsi="宋体" w:eastAsia="方正小标宋简体"/>
          <w:sz w:val="44"/>
          <w:szCs w:val="44"/>
        </w:rPr>
        <w:t>评议考核办法</w:t>
      </w:r>
    </w:p>
    <w:p>
      <w:pPr>
        <w:ind w:firstLine="640"/>
        <w:rPr>
          <w:rFonts w:ascii="仿宋_GB2312" w:eastAsia="仿宋_GB2312"/>
          <w:sz w:val="32"/>
          <w:szCs w:val="32"/>
        </w:rPr>
      </w:pPr>
    </w:p>
    <w:p>
      <w:pPr>
        <w:ind w:firstLine="643"/>
        <w:rPr>
          <w:rFonts w:ascii="Times New Roman" w:hAnsi="Times New Roman" w:eastAsia="仿宋_GB2312" w:cs="Times New Roman"/>
          <w:sz w:val="32"/>
          <w:szCs w:val="32"/>
        </w:rPr>
      </w:pPr>
      <w:r>
        <w:rPr>
          <w:rFonts w:hint="eastAsia" w:ascii="黑体" w:hAnsi="黑体" w:eastAsia="黑体" w:cs="黑体"/>
          <w:b w:val="0"/>
          <w:bCs w:val="0"/>
          <w:sz w:val="32"/>
          <w:szCs w:val="32"/>
        </w:rPr>
        <w:t>第一条</w:t>
      </w:r>
      <w:r>
        <w:rPr>
          <w:rFonts w:ascii="Times New Roman" w:hAnsi="Times New Roman" w:eastAsia="仿宋_GB2312" w:cs="Times New Roman"/>
          <w:sz w:val="32"/>
          <w:szCs w:val="32"/>
        </w:rPr>
        <w:t xml:space="preserve">  为加强本市公共汽（电）车线路运营服务质量管理，规范运营服务行为，促进服务质量提升，根据《天津市客运公共交通管理条例》、交通运输部《城市公共汽电车客运管理规定》等有关法律法规，制定本办法。</w:t>
      </w:r>
    </w:p>
    <w:p>
      <w:pPr>
        <w:ind w:firstLine="643"/>
        <w:rPr>
          <w:rFonts w:ascii="Times New Roman" w:hAnsi="Times New Roman" w:eastAsia="仿宋_GB2312" w:cs="Times New Roman"/>
          <w:sz w:val="32"/>
          <w:szCs w:val="32"/>
        </w:rPr>
      </w:pPr>
      <w:r>
        <w:rPr>
          <w:rFonts w:hint="eastAsia" w:ascii="黑体" w:hAnsi="黑体" w:eastAsia="黑体" w:cs="黑体"/>
          <w:b w:val="0"/>
          <w:bCs w:val="0"/>
          <w:sz w:val="32"/>
          <w:szCs w:val="32"/>
        </w:rPr>
        <w:t>第二条</w:t>
      </w:r>
      <w:r>
        <w:rPr>
          <w:rFonts w:ascii="Times New Roman" w:hAnsi="Times New Roman" w:eastAsia="仿宋_GB2312" w:cs="Times New Roman"/>
          <w:sz w:val="32"/>
          <w:szCs w:val="32"/>
        </w:rPr>
        <w:t xml:space="preserve">  公共汽（电）车运营服务质量评议考核对象为本市行政区域内从事公共汽（电）车线路运营服务的经营者。</w:t>
      </w:r>
    </w:p>
    <w:p>
      <w:pPr>
        <w:ind w:firstLine="643"/>
        <w:rPr>
          <w:rFonts w:ascii="Times New Roman" w:hAnsi="Times New Roman" w:eastAsia="仿宋_GB2312" w:cs="Times New Roman"/>
          <w:sz w:val="32"/>
          <w:szCs w:val="32"/>
        </w:rPr>
      </w:pPr>
      <w:r>
        <w:rPr>
          <w:rFonts w:hint="eastAsia" w:ascii="黑体" w:hAnsi="黑体" w:eastAsia="黑体" w:cs="黑体"/>
          <w:b w:val="0"/>
          <w:bCs w:val="0"/>
          <w:sz w:val="32"/>
          <w:szCs w:val="32"/>
        </w:rPr>
        <w:t>第三条</w:t>
      </w:r>
      <w:r>
        <w:rPr>
          <w:rFonts w:ascii="Times New Roman" w:hAnsi="Times New Roman" w:eastAsia="仿宋_GB2312" w:cs="Times New Roman"/>
          <w:bCs/>
          <w:sz w:val="32"/>
          <w:szCs w:val="32"/>
        </w:rPr>
        <w:t xml:space="preserve"> </w:t>
      </w:r>
      <w:r>
        <w:rPr>
          <w:rFonts w:ascii="Times New Roman" w:hAnsi="Times New Roman" w:eastAsia="仿宋_GB2312" w:cs="Times New Roman"/>
          <w:sz w:val="32"/>
          <w:szCs w:val="32"/>
        </w:rPr>
        <w:t xml:space="preserve"> 天津市道路运输管理局和各区交通运输行政管理部门按照职责分工负责本办法的组织实施，并负责开展日常评议考核工作。</w:t>
      </w:r>
    </w:p>
    <w:p>
      <w:pPr>
        <w:ind w:firstLine="643"/>
        <w:rPr>
          <w:rFonts w:ascii="Times New Roman" w:hAnsi="Times New Roman" w:eastAsia="仿宋_GB2312" w:cs="Times New Roman"/>
          <w:sz w:val="32"/>
          <w:szCs w:val="32"/>
        </w:rPr>
      </w:pPr>
      <w:r>
        <w:rPr>
          <w:rFonts w:hint="eastAsia" w:ascii="黑体" w:hAnsi="黑体" w:eastAsia="黑体" w:cs="黑体"/>
          <w:b w:val="0"/>
          <w:bCs w:val="0"/>
          <w:sz w:val="32"/>
          <w:szCs w:val="32"/>
        </w:rPr>
        <w:t xml:space="preserve">第四条 </w:t>
      </w:r>
      <w:r>
        <w:rPr>
          <w:rFonts w:ascii="Times New Roman" w:hAnsi="Times New Roman" w:eastAsia="仿宋_GB2312" w:cs="Times New Roman"/>
          <w:sz w:val="32"/>
          <w:szCs w:val="32"/>
        </w:rPr>
        <w:t xml:space="preserve"> 评议考核应当遵循客观、公平、公正、公开原则。</w:t>
      </w:r>
    </w:p>
    <w:p>
      <w:pPr>
        <w:ind w:firstLine="643"/>
        <w:rPr>
          <w:rFonts w:ascii="Times New Roman" w:hAnsi="Times New Roman" w:eastAsia="仿宋_GB2312" w:cs="Times New Roman"/>
          <w:sz w:val="32"/>
          <w:szCs w:val="32"/>
        </w:rPr>
      </w:pPr>
      <w:r>
        <w:rPr>
          <w:rFonts w:hint="eastAsia" w:ascii="黑体" w:hAnsi="黑体" w:eastAsia="黑体" w:cs="黑体"/>
          <w:b w:val="0"/>
          <w:bCs w:val="0"/>
          <w:sz w:val="32"/>
          <w:szCs w:val="32"/>
        </w:rPr>
        <w:t>第五条</w:t>
      </w:r>
      <w:r>
        <w:rPr>
          <w:rFonts w:ascii="Times New Roman" w:hAnsi="Times New Roman" w:eastAsia="仿宋_GB2312" w:cs="Times New Roman"/>
          <w:sz w:val="32"/>
          <w:szCs w:val="32"/>
        </w:rPr>
        <w:t xml:space="preserve">  评议考核内容包括对公共汽（电）车线路经营者的安全生产、作业计划执行、车辆和服务设施、乘客满意度调查、投诉处理等。评议考核采用综合计分法计算考核成绩。《天津市公共汽（电）车线路运营服务质量评议考核指标及评分标准》见附件。</w:t>
      </w:r>
    </w:p>
    <w:p>
      <w:pPr>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评议考核评分标准，满分为100分。优良：85分以上（含85分）；合格：60分至84分；不合格：60分以下。</w:t>
      </w:r>
    </w:p>
    <w:p>
      <w:pPr>
        <w:ind w:firstLine="643"/>
        <w:rPr>
          <w:rFonts w:ascii="Times New Roman" w:hAnsi="Times New Roman" w:eastAsia="仿宋_GB2312" w:cs="Times New Roman"/>
          <w:sz w:val="32"/>
          <w:szCs w:val="32"/>
          <w:u w:val="single"/>
        </w:rPr>
      </w:pPr>
      <w:r>
        <w:rPr>
          <w:rFonts w:hint="eastAsia" w:ascii="黑体" w:hAnsi="黑体" w:eastAsia="黑体" w:cs="黑体"/>
          <w:b w:val="0"/>
          <w:bCs w:val="0"/>
          <w:sz w:val="32"/>
          <w:szCs w:val="32"/>
        </w:rPr>
        <w:t>第六条</w:t>
      </w:r>
      <w:r>
        <w:rPr>
          <w:rFonts w:ascii="Times New Roman" w:hAnsi="Times New Roman" w:eastAsia="仿宋_GB2312" w:cs="Times New Roman"/>
          <w:bCs/>
          <w:sz w:val="32"/>
          <w:szCs w:val="32"/>
        </w:rPr>
        <w:t xml:space="preserve"> </w:t>
      </w:r>
      <w:r>
        <w:rPr>
          <w:rFonts w:ascii="Times New Roman" w:hAnsi="Times New Roman" w:eastAsia="仿宋_GB2312" w:cs="Times New Roman"/>
          <w:b/>
          <w:bCs/>
          <w:sz w:val="32"/>
          <w:szCs w:val="32"/>
        </w:rPr>
        <w:t xml:space="preserve"> </w:t>
      </w:r>
      <w:r>
        <w:rPr>
          <w:rFonts w:ascii="Times New Roman" w:hAnsi="Times New Roman" w:eastAsia="仿宋_GB2312" w:cs="Times New Roman"/>
          <w:sz w:val="32"/>
          <w:szCs w:val="32"/>
        </w:rPr>
        <w:t>评议考核采取专项检查、日常抽查和社会监督等方式。</w:t>
      </w:r>
    </w:p>
    <w:p>
      <w:pPr>
        <w:ind w:firstLine="643"/>
        <w:rPr>
          <w:rFonts w:ascii="Times New Roman" w:hAnsi="Times New Roman" w:eastAsia="仿宋_GB2312" w:cs="Times New Roman"/>
          <w:sz w:val="32"/>
          <w:szCs w:val="32"/>
        </w:rPr>
      </w:pPr>
      <w:r>
        <w:rPr>
          <w:rFonts w:hint="eastAsia" w:ascii="黑体" w:hAnsi="黑体" w:eastAsia="黑体" w:cs="黑体"/>
          <w:b w:val="0"/>
          <w:bCs w:val="0"/>
          <w:sz w:val="32"/>
          <w:szCs w:val="32"/>
        </w:rPr>
        <w:t>第七条</w:t>
      </w:r>
      <w:r>
        <w:rPr>
          <w:rFonts w:ascii="Times New Roman" w:hAnsi="Times New Roman" w:eastAsia="仿宋_GB2312" w:cs="Times New Roman"/>
          <w:bCs/>
          <w:sz w:val="32"/>
          <w:szCs w:val="32"/>
        </w:rPr>
        <w:t xml:space="preserve">  </w:t>
      </w:r>
      <w:r>
        <w:rPr>
          <w:rFonts w:ascii="Times New Roman" w:hAnsi="Times New Roman" w:eastAsia="仿宋_GB2312" w:cs="Times New Roman"/>
          <w:sz w:val="32"/>
          <w:szCs w:val="32"/>
        </w:rPr>
        <w:t>评议考核按年度进行考核，每年3月底前汇总上一年度内评议考核公共汽（电）车线路经营者的实际得分情况，形成考核结果，并由天津市道路运输管理局和各区交通运输行政管理部门发布。</w:t>
      </w:r>
    </w:p>
    <w:p>
      <w:pPr>
        <w:ind w:firstLine="643"/>
        <w:rPr>
          <w:rFonts w:ascii="Times New Roman" w:hAnsi="Times New Roman" w:eastAsia="仿宋_GB2312" w:cs="Times New Roman"/>
          <w:sz w:val="32"/>
          <w:szCs w:val="32"/>
        </w:rPr>
      </w:pPr>
      <w:r>
        <w:rPr>
          <w:rFonts w:hint="eastAsia" w:ascii="黑体" w:hAnsi="黑体" w:eastAsia="黑体" w:cs="黑体"/>
          <w:b w:val="0"/>
          <w:bCs w:val="0"/>
          <w:sz w:val="32"/>
          <w:szCs w:val="32"/>
        </w:rPr>
        <w:t>第八条</w:t>
      </w:r>
      <w:r>
        <w:rPr>
          <w:rFonts w:ascii="Times New Roman" w:hAnsi="Times New Roman" w:eastAsia="仿宋_GB2312" w:cs="Times New Roman"/>
          <w:bCs/>
          <w:sz w:val="32"/>
          <w:szCs w:val="32"/>
        </w:rPr>
        <w:t xml:space="preserve">  </w:t>
      </w:r>
      <w:r>
        <w:rPr>
          <w:rFonts w:ascii="Times New Roman" w:hAnsi="Times New Roman" w:eastAsia="仿宋_GB2312" w:cs="Times New Roman"/>
          <w:sz w:val="32"/>
          <w:szCs w:val="32"/>
        </w:rPr>
        <w:t>对年度服务评议考核结果不合格的公共汽（电）车线路经营者，天津市道路运输管理局和各区交通运输行政管理部门应当责令其整改。对整改不合格的企业，对其给予警告，并约谈主要负责人。</w:t>
      </w:r>
    </w:p>
    <w:p>
      <w:pPr>
        <w:ind w:firstLine="643"/>
        <w:rPr>
          <w:rFonts w:ascii="Times New Roman" w:hAnsi="Times New Roman" w:eastAsia="仿宋_GB2312" w:cs="Times New Roman"/>
          <w:sz w:val="32"/>
          <w:szCs w:val="32"/>
        </w:rPr>
      </w:pPr>
      <w:r>
        <w:rPr>
          <w:rFonts w:hint="eastAsia" w:ascii="黑体" w:hAnsi="黑体" w:eastAsia="黑体" w:cs="黑体"/>
          <w:b w:val="0"/>
          <w:bCs w:val="0"/>
          <w:sz w:val="32"/>
          <w:szCs w:val="32"/>
        </w:rPr>
        <w:t>第九条</w:t>
      </w:r>
      <w:r>
        <w:rPr>
          <w:rFonts w:ascii="Times New Roman" w:hAnsi="Times New Roman" w:eastAsia="仿宋_GB2312" w:cs="Times New Roman"/>
          <w:bCs/>
          <w:sz w:val="32"/>
          <w:szCs w:val="32"/>
        </w:rPr>
        <w:t xml:space="preserve">  </w:t>
      </w:r>
      <w:r>
        <w:rPr>
          <w:rFonts w:ascii="Times New Roman" w:hAnsi="Times New Roman" w:eastAsia="仿宋_GB2312" w:cs="Times New Roman"/>
          <w:sz w:val="32"/>
          <w:szCs w:val="32"/>
        </w:rPr>
        <w:t>经营期限内，公共汽（电）车线路经营者应当自觉接受运营服务质量考核。</w:t>
      </w:r>
    </w:p>
    <w:p>
      <w:pPr>
        <w:ind w:firstLine="643"/>
        <w:rPr>
          <w:rFonts w:ascii="Times New Roman" w:hAnsi="Times New Roman" w:eastAsia="仿宋_GB2312" w:cs="Times New Roman"/>
          <w:sz w:val="32"/>
          <w:szCs w:val="32"/>
        </w:rPr>
      </w:pPr>
      <w:r>
        <w:rPr>
          <w:rFonts w:hint="eastAsia" w:ascii="黑体" w:hAnsi="黑体" w:eastAsia="黑体" w:cs="黑体"/>
          <w:b w:val="0"/>
          <w:bCs w:val="0"/>
          <w:sz w:val="32"/>
          <w:szCs w:val="32"/>
        </w:rPr>
        <w:t xml:space="preserve">第十条 </w:t>
      </w:r>
      <w:r>
        <w:rPr>
          <w:rFonts w:ascii="Times New Roman" w:hAnsi="Times New Roman" w:eastAsia="仿宋_GB2312" w:cs="Times New Roman"/>
          <w:bCs/>
          <w:sz w:val="32"/>
          <w:szCs w:val="32"/>
        </w:rPr>
        <w:t xml:space="preserve"> </w:t>
      </w:r>
      <w:r>
        <w:rPr>
          <w:rFonts w:ascii="Times New Roman" w:hAnsi="Times New Roman" w:eastAsia="仿宋_GB2312" w:cs="Times New Roman"/>
          <w:sz w:val="32"/>
          <w:szCs w:val="32"/>
        </w:rPr>
        <w:t>对于实施成本规制的公共汽（电）车线路经营者，按照天津市公共汽车运营成本规制及配套办法进行考核。</w:t>
      </w:r>
    </w:p>
    <w:p>
      <w:pPr>
        <w:ind w:firstLine="643"/>
        <w:rPr>
          <w:rFonts w:ascii="Times New Roman" w:hAnsi="Times New Roman" w:eastAsia="仿宋_GB2312" w:cs="Times New Roman"/>
          <w:sz w:val="32"/>
          <w:szCs w:val="32"/>
        </w:rPr>
      </w:pPr>
      <w:r>
        <w:rPr>
          <w:rFonts w:hint="eastAsia" w:ascii="黑体" w:hAnsi="黑体" w:eastAsia="黑体" w:cs="黑体"/>
          <w:b w:val="0"/>
          <w:bCs w:val="0"/>
          <w:sz w:val="32"/>
          <w:szCs w:val="32"/>
        </w:rPr>
        <w:t>第十一条</w:t>
      </w:r>
      <w:r>
        <w:rPr>
          <w:rFonts w:ascii="Times New Roman" w:hAnsi="Times New Roman" w:eastAsia="仿宋_GB2312" w:cs="Times New Roman"/>
          <w:bCs/>
          <w:sz w:val="32"/>
          <w:szCs w:val="32"/>
        </w:rPr>
        <w:t xml:space="preserve"> </w:t>
      </w:r>
      <w:r>
        <w:rPr>
          <w:rFonts w:ascii="Times New Roman" w:hAnsi="Times New Roman" w:eastAsia="仿宋_GB2312" w:cs="Times New Roman"/>
          <w:sz w:val="32"/>
          <w:szCs w:val="32"/>
        </w:rPr>
        <w:t xml:space="preserve"> 本办法自202</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15</w:t>
      </w:r>
      <w:r>
        <w:rPr>
          <w:rFonts w:ascii="Times New Roman" w:hAnsi="Times New Roman" w:eastAsia="仿宋_GB2312" w:cs="Times New Roman"/>
          <w:sz w:val="32"/>
          <w:szCs w:val="32"/>
        </w:rPr>
        <w:t>日起施行</w:t>
      </w:r>
      <w:r>
        <w:rPr>
          <w:rFonts w:hint="eastAsia" w:ascii="Times New Roman" w:hAnsi="Times New Roman" w:eastAsia="仿宋_GB2312" w:cs="Times New Roman"/>
          <w:color w:val="333333"/>
          <w:sz w:val="31"/>
          <w:szCs w:val="31"/>
        </w:rPr>
        <w:t>，</w:t>
      </w:r>
      <w:r>
        <w:rPr>
          <w:rFonts w:ascii="Times New Roman" w:hAnsi="Times New Roman" w:eastAsia="仿宋_GB2312" w:cs="Times New Roman"/>
          <w:kern w:val="0"/>
          <w:sz w:val="32"/>
          <w:szCs w:val="32"/>
        </w:rPr>
        <w:t>有效期5年</w:t>
      </w:r>
      <w:r>
        <w:rPr>
          <w:rFonts w:ascii="Times New Roman" w:hAnsi="Times New Roman" w:eastAsia="仿宋_GB2312" w:cs="Times New Roman"/>
          <w:sz w:val="32"/>
          <w:szCs w:val="32"/>
        </w:rPr>
        <w:t>。</w:t>
      </w:r>
    </w:p>
    <w:p>
      <w:pPr>
        <w:spacing w:line="560" w:lineRule="exact"/>
        <w:ind w:firstLine="640"/>
        <w:rPr>
          <w:rFonts w:ascii="Times New Roman" w:hAnsi="Times New Roman" w:eastAsia="仿宋_GB2312" w:cs="Times New Roman"/>
          <w:color w:val="000000" w:themeColor="text1"/>
          <w:kern w:val="36"/>
          <w:sz w:val="32"/>
          <w:szCs w:val="32"/>
        </w:rPr>
      </w:pPr>
    </w:p>
    <w:p>
      <w:pPr>
        <w:pStyle w:val="2"/>
        <w:rPr>
          <w:rFonts w:ascii="Times New Roman" w:hAnsi="Times New Roman" w:eastAsia="仿宋_GB2312" w:cs="Times New Roman"/>
          <w:color w:val="000000" w:themeColor="text1"/>
          <w:kern w:val="36"/>
          <w:sz w:val="32"/>
          <w:szCs w:val="32"/>
        </w:rPr>
      </w:pPr>
    </w:p>
    <w:p>
      <w:pPr>
        <w:rPr>
          <w:rFonts w:ascii="Times New Roman" w:hAnsi="Times New Roman" w:eastAsia="仿宋_GB2312" w:cs="Times New Roman"/>
          <w:color w:val="000000" w:themeColor="text1"/>
          <w:kern w:val="36"/>
          <w:sz w:val="32"/>
          <w:szCs w:val="32"/>
        </w:rPr>
      </w:pPr>
    </w:p>
    <w:p>
      <w:pPr>
        <w:pStyle w:val="2"/>
        <w:keepNext/>
        <w:keepLines w:val="0"/>
        <w:pageBreakBefore w:val="0"/>
        <w:widowControl w:val="0"/>
        <w:kinsoku/>
        <w:wordWrap/>
        <w:overflowPunct/>
        <w:topLinePunct w:val="0"/>
        <w:autoSpaceDE/>
        <w:autoSpaceDN/>
        <w:bidi w:val="0"/>
        <w:adjustRightInd/>
        <w:snapToGrid w:val="0"/>
        <w:spacing w:line="540" w:lineRule="exact"/>
        <w:textAlignment w:val="auto"/>
      </w:pPr>
    </w:p>
    <w:p/>
    <w:p>
      <w:pPr>
        <w:pStyle w:val="2"/>
      </w:pPr>
    </w:p>
    <w:p/>
    <w:p>
      <w:pPr>
        <w:pStyle w:val="2"/>
        <w:keepNext/>
        <w:keepLines w:val="0"/>
        <w:pageBreakBefore w:val="0"/>
        <w:widowControl w:val="0"/>
        <w:kinsoku/>
        <w:wordWrap/>
        <w:overflowPunct/>
        <w:topLinePunct w:val="0"/>
        <w:autoSpaceDE/>
        <w:autoSpaceDN/>
        <w:bidi w:val="0"/>
        <w:adjustRightInd/>
        <w:snapToGrid/>
        <w:spacing w:line="280" w:lineRule="exact"/>
        <w:textAlignment w:val="auto"/>
      </w:pPr>
    </w:p>
    <w:p/>
    <w:p>
      <w:pPr>
        <w:pStyle w:val="2"/>
      </w:pPr>
    </w:p>
    <w:p/>
    <w:p>
      <w:pPr>
        <w:keepNext w:val="0"/>
        <w:keepLines w:val="0"/>
        <w:pageBreakBefore w:val="0"/>
        <w:widowControl w:val="0"/>
        <w:kinsoku/>
        <w:wordWrap/>
        <w:overflowPunct/>
        <w:topLinePunct w:val="0"/>
        <w:autoSpaceDE/>
        <w:autoSpaceDN/>
        <w:bidi w:val="0"/>
        <w:adjustRightInd/>
        <w:snapToGrid/>
        <w:spacing w:line="20" w:lineRule="exact"/>
        <w:textAlignment w:val="auto"/>
      </w:pPr>
    </w:p>
    <w:p/>
    <w:p>
      <w:pPr>
        <w:pStyle w:val="2"/>
      </w:pPr>
    </w:p>
    <w:p/>
    <w:p>
      <w:pPr>
        <w:pStyle w:val="2"/>
      </w:pPr>
    </w:p>
    <w:p/>
    <w:p/>
    <w:p>
      <w:pPr>
        <w:pStyle w:val="2"/>
      </w:pPr>
    </w:p>
    <w:p/>
    <w:p>
      <w:pPr>
        <w:pStyle w:val="2"/>
      </w:pPr>
    </w:p>
    <w:p/>
    <w:p>
      <w:pPr>
        <w:pStyle w:val="2"/>
      </w:pPr>
    </w:p>
    <w:sectPr>
      <w:headerReference r:id="rId3" w:type="default"/>
      <w:footerReference r:id="rId4" w:type="default"/>
      <w:footerReference r:id="rId5" w:type="even"/>
      <w:pgSz w:w="11906" w:h="16838"/>
      <w:pgMar w:top="2098" w:right="1474" w:bottom="2154" w:left="1587" w:header="851" w:footer="1588"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ind w:left="420" w:leftChars="200" w:right="420" w:rightChars="200"/>
      <w:rPr>
        <w:rStyle w:val="13"/>
        <w:rFonts w:ascii="宋体" w:hAnsi="宋体"/>
        <w:sz w:val="28"/>
        <w:szCs w:val="28"/>
      </w:rPr>
    </w:pPr>
    <w:r>
      <w:rPr>
        <w:rFonts w:ascii="宋体" w:hAnsi="宋体"/>
        <w:sz w:val="28"/>
        <w:szCs w:val="28"/>
      </w:rPr>
      <w:fldChar w:fldCharType="begin"/>
    </w:r>
    <w:r>
      <w:rPr>
        <w:rStyle w:val="13"/>
        <w:rFonts w:ascii="宋体" w:hAnsi="宋体"/>
        <w:sz w:val="28"/>
        <w:szCs w:val="28"/>
      </w:rPr>
      <w:instrText xml:space="preserve">PAGE  </w:instrText>
    </w:r>
    <w:r>
      <w:rPr>
        <w:rFonts w:ascii="宋体" w:hAnsi="宋体"/>
        <w:sz w:val="28"/>
        <w:szCs w:val="28"/>
      </w:rPr>
      <w:fldChar w:fldCharType="separate"/>
    </w:r>
    <w:r>
      <w:rPr>
        <w:rStyle w:val="13"/>
        <w:rFonts w:ascii="宋体" w:hAnsi="宋体"/>
        <w:sz w:val="28"/>
        <w:szCs w:val="28"/>
      </w:rPr>
      <w:t>- 2 -</w:t>
    </w:r>
    <w:r>
      <w:rPr>
        <w:rFonts w:ascii="宋体" w:hAnsi="宋体"/>
        <w:sz w:val="28"/>
        <w:szCs w:val="28"/>
      </w:rPr>
      <w:fldChar w:fldCharType="end"/>
    </w:r>
  </w:p>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3"/>
      </w:rPr>
    </w:pPr>
    <w:r>
      <w:fldChar w:fldCharType="begin"/>
    </w:r>
    <w:r>
      <w:rPr>
        <w:rStyle w:val="13"/>
      </w:rPr>
      <w:instrText xml:space="preserve">PAGE  </w:instrText>
    </w:r>
    <w:r>
      <w:fldChar w:fldCharType="end"/>
    </w:r>
  </w:p>
  <w:p>
    <w:pPr>
      <w:pStyle w:val="7"/>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MxMzM4YTU2YjMxZDIwYWMzZTU0NTZmMDM2NWY5OTYifQ=="/>
  </w:docVars>
  <w:rsids>
    <w:rsidRoot w:val="00820CA8"/>
    <w:rsid w:val="00017754"/>
    <w:rsid w:val="0002406D"/>
    <w:rsid w:val="00034BC4"/>
    <w:rsid w:val="0003720E"/>
    <w:rsid w:val="00050E1E"/>
    <w:rsid w:val="00053A38"/>
    <w:rsid w:val="00054194"/>
    <w:rsid w:val="00057B8B"/>
    <w:rsid w:val="00060394"/>
    <w:rsid w:val="000604BF"/>
    <w:rsid w:val="00080359"/>
    <w:rsid w:val="0009170D"/>
    <w:rsid w:val="00092E92"/>
    <w:rsid w:val="000933C0"/>
    <w:rsid w:val="000A169F"/>
    <w:rsid w:val="000A6607"/>
    <w:rsid w:val="000A78CA"/>
    <w:rsid w:val="000A7C7C"/>
    <w:rsid w:val="000B4D74"/>
    <w:rsid w:val="000C55D3"/>
    <w:rsid w:val="000D0B77"/>
    <w:rsid w:val="000D1C55"/>
    <w:rsid w:val="000E3609"/>
    <w:rsid w:val="000F6F99"/>
    <w:rsid w:val="00100609"/>
    <w:rsid w:val="0010367A"/>
    <w:rsid w:val="001056A6"/>
    <w:rsid w:val="00120B5B"/>
    <w:rsid w:val="001338DD"/>
    <w:rsid w:val="001371B2"/>
    <w:rsid w:val="0014634F"/>
    <w:rsid w:val="00147017"/>
    <w:rsid w:val="00157220"/>
    <w:rsid w:val="001654D4"/>
    <w:rsid w:val="001673A1"/>
    <w:rsid w:val="00167406"/>
    <w:rsid w:val="001767D0"/>
    <w:rsid w:val="00177F78"/>
    <w:rsid w:val="00181AFD"/>
    <w:rsid w:val="001841C6"/>
    <w:rsid w:val="00185B4D"/>
    <w:rsid w:val="001902CE"/>
    <w:rsid w:val="0019349D"/>
    <w:rsid w:val="00194F85"/>
    <w:rsid w:val="0019726E"/>
    <w:rsid w:val="00197408"/>
    <w:rsid w:val="001A181D"/>
    <w:rsid w:val="001A28EB"/>
    <w:rsid w:val="001A56B2"/>
    <w:rsid w:val="001B47A3"/>
    <w:rsid w:val="001B7838"/>
    <w:rsid w:val="001C1E92"/>
    <w:rsid w:val="001C6088"/>
    <w:rsid w:val="001C6F12"/>
    <w:rsid w:val="001D43A5"/>
    <w:rsid w:val="002001D4"/>
    <w:rsid w:val="0020042F"/>
    <w:rsid w:val="00214126"/>
    <w:rsid w:val="0021529F"/>
    <w:rsid w:val="00215B66"/>
    <w:rsid w:val="002434A5"/>
    <w:rsid w:val="002459DE"/>
    <w:rsid w:val="00246698"/>
    <w:rsid w:val="00256759"/>
    <w:rsid w:val="00276904"/>
    <w:rsid w:val="002779CD"/>
    <w:rsid w:val="00291883"/>
    <w:rsid w:val="00294408"/>
    <w:rsid w:val="002A12E1"/>
    <w:rsid w:val="002A1C0B"/>
    <w:rsid w:val="002A50BF"/>
    <w:rsid w:val="002B2526"/>
    <w:rsid w:val="002B6E16"/>
    <w:rsid w:val="002C38BB"/>
    <w:rsid w:val="002C40EA"/>
    <w:rsid w:val="002D7908"/>
    <w:rsid w:val="002E00D0"/>
    <w:rsid w:val="002E1752"/>
    <w:rsid w:val="002E5358"/>
    <w:rsid w:val="002F078A"/>
    <w:rsid w:val="002F133F"/>
    <w:rsid w:val="002F3A10"/>
    <w:rsid w:val="002F3AF0"/>
    <w:rsid w:val="002F4162"/>
    <w:rsid w:val="00306483"/>
    <w:rsid w:val="0032300A"/>
    <w:rsid w:val="0032483C"/>
    <w:rsid w:val="003315B6"/>
    <w:rsid w:val="0033241C"/>
    <w:rsid w:val="00333558"/>
    <w:rsid w:val="00345483"/>
    <w:rsid w:val="00345A8D"/>
    <w:rsid w:val="003516A7"/>
    <w:rsid w:val="003561B7"/>
    <w:rsid w:val="003563B6"/>
    <w:rsid w:val="003654BA"/>
    <w:rsid w:val="00365D71"/>
    <w:rsid w:val="003730FC"/>
    <w:rsid w:val="003733DE"/>
    <w:rsid w:val="003913F9"/>
    <w:rsid w:val="00393396"/>
    <w:rsid w:val="00394390"/>
    <w:rsid w:val="003A1AEE"/>
    <w:rsid w:val="003B7624"/>
    <w:rsid w:val="003C1F07"/>
    <w:rsid w:val="003D607D"/>
    <w:rsid w:val="003D6465"/>
    <w:rsid w:val="003E0775"/>
    <w:rsid w:val="003E4CD7"/>
    <w:rsid w:val="003E7784"/>
    <w:rsid w:val="00406895"/>
    <w:rsid w:val="0040754D"/>
    <w:rsid w:val="00410D70"/>
    <w:rsid w:val="0041341C"/>
    <w:rsid w:val="00420273"/>
    <w:rsid w:val="004238BA"/>
    <w:rsid w:val="00426FB5"/>
    <w:rsid w:val="00461B36"/>
    <w:rsid w:val="004728DF"/>
    <w:rsid w:val="004750C2"/>
    <w:rsid w:val="00481780"/>
    <w:rsid w:val="00482D80"/>
    <w:rsid w:val="00487D33"/>
    <w:rsid w:val="00490649"/>
    <w:rsid w:val="004926DB"/>
    <w:rsid w:val="00496E36"/>
    <w:rsid w:val="004A72B1"/>
    <w:rsid w:val="004B2292"/>
    <w:rsid w:val="004B7333"/>
    <w:rsid w:val="004C0074"/>
    <w:rsid w:val="004D081D"/>
    <w:rsid w:val="004D223D"/>
    <w:rsid w:val="004D561D"/>
    <w:rsid w:val="004E29ED"/>
    <w:rsid w:val="004E6827"/>
    <w:rsid w:val="004E704D"/>
    <w:rsid w:val="004F0BCA"/>
    <w:rsid w:val="00506E5D"/>
    <w:rsid w:val="00507C6B"/>
    <w:rsid w:val="00513A8C"/>
    <w:rsid w:val="00520445"/>
    <w:rsid w:val="005337E1"/>
    <w:rsid w:val="00545319"/>
    <w:rsid w:val="00553B6A"/>
    <w:rsid w:val="00556F68"/>
    <w:rsid w:val="00577199"/>
    <w:rsid w:val="005778E8"/>
    <w:rsid w:val="0058227C"/>
    <w:rsid w:val="00583530"/>
    <w:rsid w:val="00591502"/>
    <w:rsid w:val="00594100"/>
    <w:rsid w:val="00595948"/>
    <w:rsid w:val="005A47A4"/>
    <w:rsid w:val="005B12A4"/>
    <w:rsid w:val="005B2E0E"/>
    <w:rsid w:val="005B7FF5"/>
    <w:rsid w:val="005C67FE"/>
    <w:rsid w:val="005D3AEF"/>
    <w:rsid w:val="005E25D0"/>
    <w:rsid w:val="005E366E"/>
    <w:rsid w:val="005F2516"/>
    <w:rsid w:val="006101DC"/>
    <w:rsid w:val="00611395"/>
    <w:rsid w:val="006127D9"/>
    <w:rsid w:val="00617878"/>
    <w:rsid w:val="006362E9"/>
    <w:rsid w:val="006414C9"/>
    <w:rsid w:val="00656C82"/>
    <w:rsid w:val="00656F8C"/>
    <w:rsid w:val="006620D8"/>
    <w:rsid w:val="00662370"/>
    <w:rsid w:val="00662596"/>
    <w:rsid w:val="00665599"/>
    <w:rsid w:val="00666CED"/>
    <w:rsid w:val="00686DA3"/>
    <w:rsid w:val="00691993"/>
    <w:rsid w:val="006956BE"/>
    <w:rsid w:val="006A6FA3"/>
    <w:rsid w:val="006B5766"/>
    <w:rsid w:val="006B5D67"/>
    <w:rsid w:val="006D680B"/>
    <w:rsid w:val="006E2756"/>
    <w:rsid w:val="006F3F33"/>
    <w:rsid w:val="006F5704"/>
    <w:rsid w:val="00701082"/>
    <w:rsid w:val="0070232B"/>
    <w:rsid w:val="0070518E"/>
    <w:rsid w:val="00706C27"/>
    <w:rsid w:val="007148F6"/>
    <w:rsid w:val="00714C3A"/>
    <w:rsid w:val="00725A27"/>
    <w:rsid w:val="007263C5"/>
    <w:rsid w:val="00727DCA"/>
    <w:rsid w:val="00734BCD"/>
    <w:rsid w:val="007379AF"/>
    <w:rsid w:val="00741614"/>
    <w:rsid w:val="00760017"/>
    <w:rsid w:val="00761E66"/>
    <w:rsid w:val="0078654F"/>
    <w:rsid w:val="007A0610"/>
    <w:rsid w:val="007A1CFB"/>
    <w:rsid w:val="007A31E9"/>
    <w:rsid w:val="007B2E35"/>
    <w:rsid w:val="007B666C"/>
    <w:rsid w:val="007C231A"/>
    <w:rsid w:val="007C26B7"/>
    <w:rsid w:val="007C67E7"/>
    <w:rsid w:val="007D1156"/>
    <w:rsid w:val="007E0EFF"/>
    <w:rsid w:val="007F2423"/>
    <w:rsid w:val="007F356F"/>
    <w:rsid w:val="008006C1"/>
    <w:rsid w:val="00803504"/>
    <w:rsid w:val="008110D6"/>
    <w:rsid w:val="008117A0"/>
    <w:rsid w:val="00814677"/>
    <w:rsid w:val="00816D64"/>
    <w:rsid w:val="00817F24"/>
    <w:rsid w:val="00820CA8"/>
    <w:rsid w:val="008225F8"/>
    <w:rsid w:val="00827B19"/>
    <w:rsid w:val="008326DC"/>
    <w:rsid w:val="00855512"/>
    <w:rsid w:val="00855FBD"/>
    <w:rsid w:val="00866BA4"/>
    <w:rsid w:val="00877481"/>
    <w:rsid w:val="00885938"/>
    <w:rsid w:val="008873DB"/>
    <w:rsid w:val="008C471F"/>
    <w:rsid w:val="008D17FF"/>
    <w:rsid w:val="008D24DD"/>
    <w:rsid w:val="00900CB9"/>
    <w:rsid w:val="0092492A"/>
    <w:rsid w:val="00934E8D"/>
    <w:rsid w:val="00937E60"/>
    <w:rsid w:val="0095252C"/>
    <w:rsid w:val="00954ED2"/>
    <w:rsid w:val="00956D1B"/>
    <w:rsid w:val="009668FD"/>
    <w:rsid w:val="00987763"/>
    <w:rsid w:val="0099638F"/>
    <w:rsid w:val="009A1BD6"/>
    <w:rsid w:val="009B5DE2"/>
    <w:rsid w:val="009C22B9"/>
    <w:rsid w:val="009F2C7B"/>
    <w:rsid w:val="00A001C0"/>
    <w:rsid w:val="00A23F4E"/>
    <w:rsid w:val="00A26820"/>
    <w:rsid w:val="00A27302"/>
    <w:rsid w:val="00A27F90"/>
    <w:rsid w:val="00A347D8"/>
    <w:rsid w:val="00A428B9"/>
    <w:rsid w:val="00A45D56"/>
    <w:rsid w:val="00A527E9"/>
    <w:rsid w:val="00A55C05"/>
    <w:rsid w:val="00A567EF"/>
    <w:rsid w:val="00A571E5"/>
    <w:rsid w:val="00A63C53"/>
    <w:rsid w:val="00A75B9F"/>
    <w:rsid w:val="00A872F9"/>
    <w:rsid w:val="00A87AEC"/>
    <w:rsid w:val="00AA4732"/>
    <w:rsid w:val="00AB1E6B"/>
    <w:rsid w:val="00AC41C6"/>
    <w:rsid w:val="00AD5915"/>
    <w:rsid w:val="00AE5BAA"/>
    <w:rsid w:val="00AE5D13"/>
    <w:rsid w:val="00B1265E"/>
    <w:rsid w:val="00B160A0"/>
    <w:rsid w:val="00B24179"/>
    <w:rsid w:val="00B36C96"/>
    <w:rsid w:val="00B447EE"/>
    <w:rsid w:val="00B45735"/>
    <w:rsid w:val="00B45DA0"/>
    <w:rsid w:val="00B47547"/>
    <w:rsid w:val="00B5543D"/>
    <w:rsid w:val="00B577AB"/>
    <w:rsid w:val="00B665B1"/>
    <w:rsid w:val="00B76562"/>
    <w:rsid w:val="00B810DD"/>
    <w:rsid w:val="00B9035C"/>
    <w:rsid w:val="00B90C55"/>
    <w:rsid w:val="00B96942"/>
    <w:rsid w:val="00BA0B43"/>
    <w:rsid w:val="00BA576E"/>
    <w:rsid w:val="00BB43A1"/>
    <w:rsid w:val="00BB7910"/>
    <w:rsid w:val="00BC116B"/>
    <w:rsid w:val="00BC1E92"/>
    <w:rsid w:val="00BC641E"/>
    <w:rsid w:val="00BC66F4"/>
    <w:rsid w:val="00BD0B6E"/>
    <w:rsid w:val="00BE5646"/>
    <w:rsid w:val="00BE5DE1"/>
    <w:rsid w:val="00BE6CEA"/>
    <w:rsid w:val="00BE752C"/>
    <w:rsid w:val="00BF7047"/>
    <w:rsid w:val="00C0026E"/>
    <w:rsid w:val="00C0045C"/>
    <w:rsid w:val="00C01D7A"/>
    <w:rsid w:val="00C01ECA"/>
    <w:rsid w:val="00C152AF"/>
    <w:rsid w:val="00C209C9"/>
    <w:rsid w:val="00C25970"/>
    <w:rsid w:val="00C30D9C"/>
    <w:rsid w:val="00C477EE"/>
    <w:rsid w:val="00C5740A"/>
    <w:rsid w:val="00C73EDC"/>
    <w:rsid w:val="00C76035"/>
    <w:rsid w:val="00C76C7D"/>
    <w:rsid w:val="00C81B69"/>
    <w:rsid w:val="00C82210"/>
    <w:rsid w:val="00C83F02"/>
    <w:rsid w:val="00C870D9"/>
    <w:rsid w:val="00CA1593"/>
    <w:rsid w:val="00CA345A"/>
    <w:rsid w:val="00CA5144"/>
    <w:rsid w:val="00CB5FC1"/>
    <w:rsid w:val="00CC5C44"/>
    <w:rsid w:val="00CD2035"/>
    <w:rsid w:val="00CD4723"/>
    <w:rsid w:val="00D00006"/>
    <w:rsid w:val="00D11D35"/>
    <w:rsid w:val="00D13314"/>
    <w:rsid w:val="00D14EF7"/>
    <w:rsid w:val="00D24657"/>
    <w:rsid w:val="00D324EF"/>
    <w:rsid w:val="00D32CFD"/>
    <w:rsid w:val="00D36778"/>
    <w:rsid w:val="00D4057A"/>
    <w:rsid w:val="00D42EB1"/>
    <w:rsid w:val="00D442C5"/>
    <w:rsid w:val="00D452F7"/>
    <w:rsid w:val="00D536FD"/>
    <w:rsid w:val="00D54AB2"/>
    <w:rsid w:val="00D57883"/>
    <w:rsid w:val="00D60150"/>
    <w:rsid w:val="00D61EA6"/>
    <w:rsid w:val="00D62085"/>
    <w:rsid w:val="00D6511E"/>
    <w:rsid w:val="00D74FC3"/>
    <w:rsid w:val="00D75508"/>
    <w:rsid w:val="00D760B2"/>
    <w:rsid w:val="00D81019"/>
    <w:rsid w:val="00D8322B"/>
    <w:rsid w:val="00D86436"/>
    <w:rsid w:val="00D93A6B"/>
    <w:rsid w:val="00DB1100"/>
    <w:rsid w:val="00DB2299"/>
    <w:rsid w:val="00DB5919"/>
    <w:rsid w:val="00DB5C66"/>
    <w:rsid w:val="00DB6FB4"/>
    <w:rsid w:val="00DF0DE9"/>
    <w:rsid w:val="00DF5782"/>
    <w:rsid w:val="00DF7832"/>
    <w:rsid w:val="00E11D20"/>
    <w:rsid w:val="00E245C2"/>
    <w:rsid w:val="00E34CC6"/>
    <w:rsid w:val="00E37161"/>
    <w:rsid w:val="00E54D54"/>
    <w:rsid w:val="00E663F4"/>
    <w:rsid w:val="00E6714B"/>
    <w:rsid w:val="00E83B98"/>
    <w:rsid w:val="00E854F0"/>
    <w:rsid w:val="00E92200"/>
    <w:rsid w:val="00EA63AB"/>
    <w:rsid w:val="00EC105F"/>
    <w:rsid w:val="00EC1228"/>
    <w:rsid w:val="00EC3EEF"/>
    <w:rsid w:val="00EC5333"/>
    <w:rsid w:val="00ED2057"/>
    <w:rsid w:val="00EE2643"/>
    <w:rsid w:val="00EE36F2"/>
    <w:rsid w:val="00EE3E55"/>
    <w:rsid w:val="00F045BC"/>
    <w:rsid w:val="00F04A49"/>
    <w:rsid w:val="00F13D51"/>
    <w:rsid w:val="00F14B65"/>
    <w:rsid w:val="00F14B71"/>
    <w:rsid w:val="00F23D3B"/>
    <w:rsid w:val="00F24107"/>
    <w:rsid w:val="00F279B9"/>
    <w:rsid w:val="00F34F9D"/>
    <w:rsid w:val="00F37F8A"/>
    <w:rsid w:val="00F55443"/>
    <w:rsid w:val="00F6222D"/>
    <w:rsid w:val="00F70A40"/>
    <w:rsid w:val="00F71961"/>
    <w:rsid w:val="00F74ED4"/>
    <w:rsid w:val="00F80E09"/>
    <w:rsid w:val="00F84652"/>
    <w:rsid w:val="00F8705C"/>
    <w:rsid w:val="00F96FA2"/>
    <w:rsid w:val="00FA6750"/>
    <w:rsid w:val="00FB0EE0"/>
    <w:rsid w:val="00FB2016"/>
    <w:rsid w:val="00FC30FA"/>
    <w:rsid w:val="00FC3335"/>
    <w:rsid w:val="00FD2A70"/>
    <w:rsid w:val="00FD5ECB"/>
    <w:rsid w:val="00FF0521"/>
    <w:rsid w:val="01C64B54"/>
    <w:rsid w:val="04966B2D"/>
    <w:rsid w:val="08852047"/>
    <w:rsid w:val="0D78117E"/>
    <w:rsid w:val="0ECB71E5"/>
    <w:rsid w:val="1047087A"/>
    <w:rsid w:val="18B73F35"/>
    <w:rsid w:val="1B432FBD"/>
    <w:rsid w:val="1C272A73"/>
    <w:rsid w:val="28295C26"/>
    <w:rsid w:val="2C7221DA"/>
    <w:rsid w:val="33F373EF"/>
    <w:rsid w:val="361071E0"/>
    <w:rsid w:val="36AC163C"/>
    <w:rsid w:val="37BF4023"/>
    <w:rsid w:val="3E0D409C"/>
    <w:rsid w:val="4777426F"/>
    <w:rsid w:val="4AA87665"/>
    <w:rsid w:val="525F08EB"/>
    <w:rsid w:val="5969641D"/>
    <w:rsid w:val="5EB470E8"/>
    <w:rsid w:val="646146DA"/>
    <w:rsid w:val="66A65F73"/>
    <w:rsid w:val="697B49F0"/>
    <w:rsid w:val="69E85563"/>
    <w:rsid w:val="6AA816AD"/>
    <w:rsid w:val="71EB46B3"/>
    <w:rsid w:val="723E277B"/>
    <w:rsid w:val="729B7534"/>
    <w:rsid w:val="73722A85"/>
    <w:rsid w:val="73E8268A"/>
    <w:rsid w:val="740355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unhideWhenUsed/>
    <w:qFormat/>
    <w:uiPriority w:val="0"/>
    <w:pPr>
      <w:keepNext/>
      <w:spacing w:before="240" w:after="60"/>
      <w:outlineLvl w:val="3"/>
    </w:pPr>
    <w:rPr>
      <w:rFonts w:eastAsia="宋体" w:cs="Times New Roman"/>
      <w:b/>
      <w:bCs/>
      <w:sz w:val="28"/>
      <w:szCs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spacing w:line="520" w:lineRule="exact"/>
      <w:ind w:firstLine="607" w:firstLineChars="200"/>
    </w:pPr>
    <w:rPr>
      <w:rFonts w:eastAsia="仿宋_GB2312"/>
      <w:sz w:val="32"/>
    </w:rPr>
  </w:style>
  <w:style w:type="paragraph" w:styleId="4">
    <w:name w:val="Plain Text"/>
    <w:basedOn w:val="1"/>
    <w:link w:val="17"/>
    <w:qFormat/>
    <w:uiPriority w:val="0"/>
    <w:rPr>
      <w:rFonts w:ascii="宋体" w:hAnsi="Courier New" w:eastAsiaTheme="minorEastAsia" w:cstheme="minorBidi"/>
      <w:szCs w:val="22"/>
    </w:rPr>
  </w:style>
  <w:style w:type="paragraph" w:styleId="5">
    <w:name w:val="Date"/>
    <w:basedOn w:val="1"/>
    <w:next w:val="1"/>
    <w:link w:val="18"/>
    <w:qFormat/>
    <w:uiPriority w:val="0"/>
    <w:pPr>
      <w:ind w:left="100" w:leftChars="2500"/>
    </w:pPr>
  </w:style>
  <w:style w:type="paragraph" w:styleId="6">
    <w:name w:val="Balloon Text"/>
    <w:basedOn w:val="1"/>
    <w:link w:val="19"/>
    <w:semiHidden/>
    <w:unhideWhenUsed/>
    <w:qFormat/>
    <w:uiPriority w:val="0"/>
    <w:rPr>
      <w:sz w:val="18"/>
      <w:szCs w:val="18"/>
    </w:rPr>
  </w:style>
  <w:style w:type="paragraph" w:styleId="7">
    <w:name w:val="footer"/>
    <w:basedOn w:val="1"/>
    <w:link w:val="15"/>
    <w:unhideWhenUsed/>
    <w:qFormat/>
    <w:uiPriority w:val="0"/>
    <w:pPr>
      <w:tabs>
        <w:tab w:val="center" w:pos="4153"/>
        <w:tab w:val="right" w:pos="8306"/>
      </w:tabs>
      <w:snapToGrid w:val="0"/>
      <w:jc w:val="left"/>
    </w:pPr>
    <w:rPr>
      <w:sz w:val="18"/>
      <w:szCs w:val="18"/>
    </w:rPr>
  </w:style>
  <w:style w:type="paragraph" w:styleId="8">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jc w:val="left"/>
    </w:pPr>
    <w:rPr>
      <w:rFonts w:cs="Times New Roman"/>
      <w:kern w:val="0"/>
      <w:sz w:val="24"/>
    </w:rPr>
  </w:style>
  <w:style w:type="character" w:styleId="12">
    <w:name w:val="Strong"/>
    <w:basedOn w:val="11"/>
    <w:qFormat/>
    <w:uiPriority w:val="22"/>
    <w:rPr>
      <w:b/>
      <w:bCs/>
    </w:rPr>
  </w:style>
  <w:style w:type="character" w:styleId="13">
    <w:name w:val="page number"/>
    <w:basedOn w:val="11"/>
    <w:qFormat/>
    <w:uiPriority w:val="0"/>
  </w:style>
  <w:style w:type="character" w:customStyle="1" w:styleId="14">
    <w:name w:val="页眉 Char"/>
    <w:basedOn w:val="11"/>
    <w:link w:val="8"/>
    <w:qFormat/>
    <w:uiPriority w:val="0"/>
    <w:rPr>
      <w:sz w:val="18"/>
      <w:szCs w:val="18"/>
    </w:rPr>
  </w:style>
  <w:style w:type="character" w:customStyle="1" w:styleId="15">
    <w:name w:val="页脚 Char"/>
    <w:basedOn w:val="11"/>
    <w:link w:val="7"/>
    <w:qFormat/>
    <w:uiPriority w:val="0"/>
    <w:rPr>
      <w:sz w:val="18"/>
      <w:szCs w:val="18"/>
    </w:rPr>
  </w:style>
  <w:style w:type="character" w:customStyle="1" w:styleId="16">
    <w:name w:val="纯文本 Char"/>
    <w:link w:val="4"/>
    <w:qFormat/>
    <w:uiPriority w:val="0"/>
    <w:rPr>
      <w:rFonts w:ascii="宋体" w:hAnsi="Courier New"/>
    </w:rPr>
  </w:style>
  <w:style w:type="character" w:customStyle="1" w:styleId="17">
    <w:name w:val="纯文本 Char1"/>
    <w:basedOn w:val="11"/>
    <w:link w:val="4"/>
    <w:semiHidden/>
    <w:qFormat/>
    <w:uiPriority w:val="99"/>
    <w:rPr>
      <w:rFonts w:ascii="宋体" w:hAnsi="Courier New" w:eastAsia="宋体" w:cs="Courier New"/>
      <w:szCs w:val="21"/>
    </w:rPr>
  </w:style>
  <w:style w:type="character" w:customStyle="1" w:styleId="18">
    <w:name w:val="日期 Char"/>
    <w:basedOn w:val="11"/>
    <w:link w:val="5"/>
    <w:qFormat/>
    <w:uiPriority w:val="0"/>
    <w:rPr>
      <w:rFonts w:ascii="Times New Roman" w:hAnsi="Times New Roman" w:eastAsia="宋体" w:cs="Times New Roman"/>
      <w:szCs w:val="24"/>
    </w:rPr>
  </w:style>
  <w:style w:type="character" w:customStyle="1" w:styleId="19">
    <w:name w:val="批注框文本 Char"/>
    <w:basedOn w:val="11"/>
    <w:link w:val="6"/>
    <w:semiHidden/>
    <w:qFormat/>
    <w:uiPriority w:val="99"/>
    <w:rPr>
      <w:rFonts w:ascii="Times New Roman" w:hAnsi="Times New Roman" w:eastAsia="宋体" w:cs="Times New Roman"/>
      <w:sz w:val="18"/>
      <w:szCs w:val="18"/>
    </w:rPr>
  </w:style>
  <w:style w:type="paragraph" w:styleId="2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B5E858-359B-439F-8919-A1F7EDDF47D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130</Words>
  <Characters>744</Characters>
  <Lines>6</Lines>
  <Paragraphs>1</Paragraphs>
  <TotalTime>11</TotalTime>
  <ScaleCrop>false</ScaleCrop>
  <LinksUpToDate>false</LinksUpToDate>
  <CharactersWithSpaces>873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2018-05-08T08:15:00Z</dcterms:created>
  <dc:creator>客管办（政）</dc:creator>
  <cp:lastModifiedBy>道路运输局（政）</cp:lastModifiedBy>
  <cp:lastPrinted>2020-04-02T06:01:00Z</cp:lastPrinted>
  <dcterms:modified xsi:type="dcterms:W3CDTF">2023-07-26T09:27:53Z</dcterms:modified>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8089B13F3FCE4857BEDFAB37284DFEFF_12</vt:lpwstr>
  </property>
</Properties>
</file>