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eastAsia="仿宋_GB2312"/>
          <w:color w:val="FF0000"/>
          <w:w w:val="66"/>
          <w:kern w:val="15"/>
          <w:sz w:val="32"/>
          <w:szCs w:val="32"/>
        </w:rPr>
      </w:pPr>
    </w:p>
    <w:p>
      <w:pPr>
        <w:ind w:firstLine="422" w:firstLineChars="200"/>
        <w:jc w:val="center"/>
        <w:rPr>
          <w:rFonts w:eastAsia="仿宋_GB2312"/>
          <w:color w:val="FF0000"/>
          <w:w w:val="66"/>
          <w:kern w:val="15"/>
          <w:sz w:val="32"/>
          <w:szCs w:val="32"/>
        </w:rPr>
      </w:pPr>
    </w:p>
    <w:p>
      <w:pPr>
        <w:ind w:firstLine="276" w:firstLineChars="200"/>
        <w:jc w:val="center"/>
        <w:rPr>
          <w:rFonts w:eastAsia="仿宋_GB2312"/>
          <w:color w:val="FF0000"/>
          <w:w w:val="66"/>
          <w:kern w:val="15"/>
          <w:szCs w:val="21"/>
        </w:rPr>
      </w:pPr>
    </w:p>
    <w:p>
      <w:pPr>
        <w:spacing w:beforeLines="60"/>
        <w:ind w:firstLine="1162" w:firstLineChars="200"/>
        <w:jc w:val="center"/>
        <w:rPr>
          <w:rFonts w:eastAsia="仿宋_GB2312"/>
          <w:color w:val="FF0000"/>
          <w:spacing w:val="-26"/>
          <w:w w:val="66"/>
          <w:kern w:val="15"/>
          <w:sz w:val="96"/>
          <w:szCs w:val="96"/>
        </w:rPr>
      </w:pPr>
    </w:p>
    <w:p>
      <w:pPr>
        <w:spacing w:line="400" w:lineRule="exact"/>
        <w:ind w:firstLine="640" w:firstLineChars="200"/>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center"/>
        <w:textAlignment w:val="auto"/>
        <w:rPr>
          <w:rFonts w:eastAsia="仿宋_GB2312"/>
          <w:sz w:val="32"/>
          <w:szCs w:val="32"/>
        </w:rPr>
      </w:pPr>
    </w:p>
    <w:p>
      <w:pPr>
        <w:spacing w:line="600" w:lineRule="exact"/>
        <w:jc w:val="center"/>
        <w:rPr>
          <w:sz w:val="32"/>
        </w:rPr>
      </w:pPr>
      <w:r>
        <w:rPr>
          <w:rFonts w:hint="eastAsia" w:eastAsia="仿宋_GB2312"/>
          <w:sz w:val="32"/>
          <w:szCs w:val="32"/>
        </w:rPr>
        <w:t>津</w:t>
      </w:r>
      <w:r>
        <w:rPr>
          <w:rFonts w:hint="eastAsia" w:eastAsia="仿宋_GB2312"/>
          <w:sz w:val="32"/>
          <w:szCs w:val="32"/>
          <w:lang w:eastAsia="zh-CN"/>
        </w:rPr>
        <w:t>道</w:t>
      </w:r>
      <w:r>
        <w:rPr>
          <w:rFonts w:hint="default" w:ascii="Times New Roman" w:hAnsi="Times New Roman" w:eastAsia="仿宋_GB2312" w:cs="Times New Roman"/>
          <w:sz w:val="32"/>
          <w:szCs w:val="32"/>
          <w:lang w:eastAsia="zh-CN"/>
        </w:rPr>
        <w:t>运</w:t>
      </w:r>
      <w:r>
        <w:rPr>
          <w:rFonts w:hint="default" w:ascii="Times New Roman" w:hAnsi="Times New Roman" w:eastAsia="仿宋_GB2312" w:cs="Times New Roman"/>
          <w:sz w:val="32"/>
          <w:szCs w:val="32"/>
        </w:rPr>
        <w:t>规</w:t>
      </w:r>
      <w:r>
        <w:rPr>
          <w:rFonts w:eastAsia="仿宋_GB2312"/>
          <w:sz w:val="32"/>
        </w:rPr>
        <w:t>〔20</w:t>
      </w:r>
      <w:r>
        <w:rPr>
          <w:rFonts w:hint="eastAsia" w:eastAsia="仿宋_GB2312"/>
          <w:sz w:val="32"/>
        </w:rPr>
        <w:t>2</w:t>
      </w:r>
      <w:r>
        <w:rPr>
          <w:rFonts w:hint="eastAsia" w:eastAsia="仿宋_GB2312"/>
          <w:sz w:val="32"/>
          <w:lang w:val="en-US" w:eastAsia="zh-CN"/>
        </w:rPr>
        <w:t>1</w:t>
      </w:r>
      <w:r>
        <w:rPr>
          <w:rFonts w:eastAsia="仿宋_GB2312"/>
          <w:sz w:val="32"/>
        </w:rPr>
        <w:t>〕</w:t>
      </w:r>
      <w:r>
        <w:rPr>
          <w:rFonts w:hint="eastAsia" w:eastAsia="仿宋_GB2312"/>
          <w:sz w:val="32"/>
          <w:lang w:val="en-US" w:eastAsia="zh-CN"/>
        </w:rPr>
        <w:t>1</w:t>
      </w:r>
      <w:r>
        <w:rPr>
          <w:rFonts w:eastAsia="仿宋_GB2312"/>
          <w:sz w:val="32"/>
        </w:rPr>
        <w:t>号</w:t>
      </w:r>
    </w:p>
    <w:p>
      <w:pPr>
        <w:spacing w:line="560" w:lineRule="exact"/>
        <w:ind w:firstLine="640" w:firstLineChars="200"/>
        <w:jc w:val="center"/>
        <w:rPr>
          <w:sz w:val="32"/>
        </w:r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ascii="方正小标宋简体" w:eastAsia="方正小标宋简体"/>
          <w:sz w:val="44"/>
          <w:szCs w:val="44"/>
        </w:rPr>
      </w:pPr>
    </w:p>
    <w:p>
      <w:pPr>
        <w:spacing w:line="600" w:lineRule="exact"/>
        <w:jc w:val="center"/>
        <w:rPr>
          <w:rFonts w:eastAsia="方正小标宋简体"/>
          <w:sz w:val="44"/>
          <w:szCs w:val="44"/>
        </w:rPr>
      </w:pPr>
      <w:bookmarkStart w:id="0" w:name="OLE_LINK1"/>
      <w:r>
        <w:rPr>
          <w:rFonts w:eastAsia="方正小标宋简体"/>
          <w:sz w:val="44"/>
          <w:szCs w:val="44"/>
        </w:rPr>
        <w:t>天津市</w:t>
      </w:r>
      <w:r>
        <w:rPr>
          <w:rFonts w:hint="eastAsia" w:eastAsia="方正小标宋简体"/>
          <w:sz w:val="44"/>
          <w:szCs w:val="44"/>
          <w:lang w:eastAsia="zh-CN"/>
        </w:rPr>
        <w:t>道路运输管理局</w:t>
      </w:r>
      <w:r>
        <w:rPr>
          <w:rFonts w:eastAsia="方正小标宋简体"/>
          <w:sz w:val="44"/>
          <w:szCs w:val="44"/>
        </w:rPr>
        <w:t>关于印发天津市</w:t>
      </w:r>
    </w:p>
    <w:p>
      <w:pPr>
        <w:spacing w:line="600" w:lineRule="exact"/>
        <w:jc w:val="center"/>
        <w:rPr>
          <w:rFonts w:ascii="Times New Roman" w:hAnsi="Times New Roman" w:eastAsia="方正小标宋简体" w:cs="Times New Roman"/>
          <w:w w:val="110"/>
          <w:sz w:val="44"/>
          <w:szCs w:val="44"/>
        </w:rPr>
      </w:pPr>
      <w:r>
        <w:rPr>
          <w:rFonts w:eastAsia="方正小标宋简体"/>
          <w:sz w:val="44"/>
          <w:szCs w:val="44"/>
        </w:rPr>
        <w:t>公共汽（电）车安全管理办法</w:t>
      </w:r>
      <w:r>
        <w:rPr>
          <w:rFonts w:hint="eastAsia" w:eastAsia="方正小标宋简体"/>
          <w:sz w:val="44"/>
          <w:szCs w:val="44"/>
        </w:rPr>
        <w:t>的通知</w:t>
      </w:r>
    </w:p>
    <w:p>
      <w:pPr>
        <w:pStyle w:val="3"/>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各区交通运输主管部门、</w:t>
      </w:r>
      <w:r>
        <w:rPr>
          <w:rFonts w:hint="eastAsia" w:ascii="Times New Roman" w:hAnsi="Times New Roman" w:eastAsia="仿宋_GB2312" w:cs="Times New Roman"/>
          <w:sz w:val="32"/>
          <w:szCs w:val="32"/>
          <w:shd w:val="clear" w:color="auto" w:fill="FFFFFF"/>
        </w:rPr>
        <w:t>各公交企业、各有关单位</w:t>
      </w:r>
      <w:r>
        <w:rPr>
          <w:rFonts w:ascii="Times New Roman" w:hAnsi="Times New Roman" w:eastAsia="仿宋_GB2312" w:cs="Times New Roman"/>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现将修订后的</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天津市公共汽（电）车安全管理办法</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印发给你们，</w:t>
      </w:r>
      <w:r>
        <w:rPr>
          <w:rFonts w:ascii="Times New Roman" w:hAnsi="Times New Roman" w:eastAsia="仿宋_GB2312" w:cs="Times New Roman"/>
          <w:sz w:val="32"/>
          <w:szCs w:val="32"/>
          <w:shd w:val="clear" w:color="auto" w:fill="FFFFFF"/>
        </w:rPr>
        <w:t>请认真贯彻执行。</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r>
        <w:rPr>
          <w:rFonts w:hint="eastAsia" w:eastAsia="仿宋_GB2312"/>
          <w:sz w:val="32"/>
          <w:szCs w:val="32"/>
        </w:rPr>
        <w:t xml:space="preserve">                                202</w:t>
      </w:r>
      <w:r>
        <w:rPr>
          <w:rFonts w:hint="eastAsia" w:eastAsia="仿宋_GB2312"/>
          <w:sz w:val="32"/>
          <w:szCs w:val="32"/>
          <w:lang w:val="en-US" w:eastAsia="zh-CN"/>
        </w:rPr>
        <w:t>1</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r>
        <w:rPr>
          <w:rFonts w:hint="eastAsia" w:eastAsia="仿宋_GB2312"/>
          <w:sz w:val="32"/>
          <w:szCs w:val="32"/>
          <w:lang w:eastAsia="zh-CN"/>
        </w:rPr>
        <w:t>　</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160" w:lineRule="exact"/>
        <w:textAlignment w:val="auto"/>
      </w:pPr>
    </w:p>
    <w:p>
      <w:pPr>
        <w:spacing w:line="600" w:lineRule="exact"/>
        <w:jc w:val="center"/>
        <w:rPr>
          <w:rFonts w:ascii="方正小标宋简体" w:eastAsia="方正小标宋简体"/>
          <w:sz w:val="44"/>
          <w:szCs w:val="44"/>
        </w:rPr>
      </w:pPr>
      <w:r>
        <w:rPr>
          <w:rFonts w:ascii="方正小标宋简体" w:eastAsia="方正小标宋简体"/>
          <w:sz w:val="44"/>
          <w:szCs w:val="44"/>
        </w:rPr>
        <w:t>天津市公共汽（电）车安全管理办法</w:t>
      </w:r>
    </w:p>
    <w:p>
      <w:pPr>
        <w:spacing w:line="560" w:lineRule="exact"/>
        <w:ind w:firstLine="643"/>
        <w:jc w:val="center"/>
        <w:rPr>
          <w:rFonts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第一条</w:t>
      </w:r>
      <w:r>
        <w:rPr>
          <w:rFonts w:ascii="Times New Roman" w:hAnsi="Times New Roman" w:eastAsia="仿宋_GB2312" w:cs="Times New Roman"/>
          <w:color w:val="000000"/>
          <w:sz w:val="32"/>
          <w:szCs w:val="32"/>
        </w:rPr>
        <w:t xml:space="preserve"> 为加强公共汽（电）车安全生产管理，有效预防和</w:t>
      </w:r>
      <w:r>
        <w:rPr>
          <w:rFonts w:ascii="Times New Roman" w:hAnsi="Times New Roman" w:eastAsia="仿宋_GB2312" w:cs="Times New Roman"/>
          <w:sz w:val="32"/>
          <w:szCs w:val="32"/>
        </w:rPr>
        <w:t>减少事故发生，确保国家和人民生命财产安全，按照《中华人民共和国安全生产法》《天津市客运公共交通管理条例》、交通运输部《城市公共汽电车客运管理规定》等有关法律法规，制定本办法。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第二条</w:t>
      </w:r>
      <w:r>
        <w:rPr>
          <w:rFonts w:ascii="Times New Roman" w:hAnsi="Times New Roman" w:eastAsia="仿宋_GB2312" w:cs="Times New Roman"/>
          <w:sz w:val="32"/>
          <w:szCs w:val="32"/>
        </w:rPr>
        <w:t xml:space="preserve"> 本市行政区域内的公共汽（电）车经营企业在从事生产经营活动中的安全管理工作，适用本办法。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b/>
          <w:sz w:val="32"/>
          <w:szCs w:val="32"/>
        </w:rPr>
      </w:pPr>
      <w:r>
        <w:rPr>
          <w:rFonts w:hint="eastAsia" w:ascii="黑体" w:hAnsi="黑体" w:eastAsia="黑体" w:cs="黑体"/>
          <w:b w:val="0"/>
          <w:bCs/>
          <w:color w:val="000000"/>
          <w:sz w:val="32"/>
          <w:szCs w:val="32"/>
        </w:rPr>
        <w:t>第三条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公共汽（电）车安全生产工作坚持</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安全第一，预防为主，综合治理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的方针，坚持管行业必须管安全，管业务必须管安全，管生产经营必须管安全的原则。</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bCs/>
          <w:sz w:val="32"/>
          <w:szCs w:val="32"/>
        </w:rPr>
      </w:pPr>
      <w:r>
        <w:rPr>
          <w:rFonts w:hint="eastAsia" w:ascii="黑体" w:hAnsi="黑体" w:eastAsia="黑体" w:cs="黑体"/>
          <w:b w:val="0"/>
          <w:bCs/>
          <w:color w:val="000000"/>
          <w:sz w:val="32"/>
          <w:szCs w:val="32"/>
        </w:rPr>
        <w:t>第四条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公共汽（电）车安全生产监督管理工作坚持落实</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党政同责、一岗双责</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第五条</w:t>
      </w:r>
      <w:r>
        <w:rPr>
          <w:rFonts w:ascii="Times New Roman" w:hAnsi="Times New Roman" w:eastAsia="仿宋_GB2312" w:cs="Times New Roman"/>
          <w:sz w:val="32"/>
          <w:szCs w:val="32"/>
        </w:rPr>
        <w:t xml:space="preserve"> 公共汽（电）车经营企业从事生产经营活动，应当履行下列安全生产职责：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建立健全企业安全生产管理制度，设置安全生产管理机构或者配备专职安全生产管理人员，保障安全生产经费投入，增强突发事件防范和应急处置能力，定期开展安全检查和隐患排查，加强安全乘车和应急知识宣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（二）制定城市公共汽（电）车客运运营安全操作规程，组织制定并实施本单位安全教育培训计划，定期对全体从业人员进行安全生产教育和培训</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（三）对城市公共汽电车客运服务设施设备建立安全生产管理制度，落实责任制，加强对有关设施设备的管理和维护</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（四）建立城市公共汽（电）车车辆安全管理制度，定期对运营车辆及附属设备进行检测、维护、更新，保证其处于良好状态。不得将存在安全隐患的车辆投入运营</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（五）在城市公共汽（电）车车辆和场站醒目位置设置安全警示标志、安全疏散示意图等，并为车辆配备灭火器、安全锤等安全应急设备，保证安全应急设备处于良好状态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（六）在城市公共汽（电）车主要站点的醒目位置公布禁止携带的违禁物品目录。有条件的，应当在城市公共汽（电）车车辆上张贴禁止携带违禁物品乘车的提示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依照规定配备安保人员和相应设备设施，加强安全检查和保卫工作。乘客应当自觉接受、配合安全检查。对于拒绝接受安全检查或者携带违禁物品的乘客，运营企业从业人员应当制止其乘车；制止无效的，及时报告公安部门处理</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（八）根据城市公共汽（电）车客运突发事件应急预案，制定本企业的应急预案，并定期演练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（九）定期对驾驶员进行身体健康检查，发现有不适宜驾驶工作的疾病或者有心理疾患的，暂停其驾驶工作</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（十）加强新能源汽车运营安全管理，及时制定和完善新能源汽车、新能源公交场站安全管理制度和操作规范。</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第六条</w:t>
      </w:r>
      <w:r>
        <w:rPr>
          <w:rFonts w:ascii="Times New Roman" w:hAnsi="Times New Roman" w:eastAsia="仿宋_GB2312" w:cs="Times New Roman"/>
          <w:sz w:val="32"/>
          <w:szCs w:val="32"/>
        </w:rPr>
        <w:t xml:space="preserve"> 公共汽（电）车经营企业应当认真落实安全生产标准化工作中《城市公共汽车客运企业安全生产达标考评指标》的各项任务和目标，实现安全生产管理规范化、标准化，提高安全生产水平，确保运营安全稳定。</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color w:val="000000" w:themeColor="text1"/>
          <w:sz w:val="32"/>
          <w:szCs w:val="32"/>
        </w:rPr>
      </w:pPr>
      <w:r>
        <w:rPr>
          <w:rFonts w:hint="eastAsia" w:ascii="黑体" w:hAnsi="黑体" w:eastAsia="黑体" w:cs="黑体"/>
          <w:b w:val="0"/>
          <w:bCs/>
          <w:color w:val="000000"/>
          <w:sz w:val="32"/>
          <w:szCs w:val="32"/>
        </w:rPr>
        <w:t>第七条</w:t>
      </w:r>
      <w:r>
        <w:rPr>
          <w:rFonts w:ascii="Times New Roman" w:hAnsi="Times New Roman" w:eastAsia="仿宋_GB2312" w:cs="Times New Roman"/>
          <w:b/>
          <w:sz w:val="32"/>
          <w:szCs w:val="32"/>
        </w:rPr>
        <w:t xml:space="preserve"> </w:t>
      </w:r>
      <w:r>
        <w:rPr>
          <w:rFonts w:ascii="Times New Roman" w:hAnsi="Times New Roman" w:eastAsia="仿宋_GB2312" w:cs="Times New Roman"/>
          <w:color w:val="000000" w:themeColor="text1"/>
          <w:sz w:val="32"/>
          <w:szCs w:val="32"/>
        </w:rPr>
        <w:t>公共汽（电）车经营企业按照相关法律、法规和标准要求，组织开展安全生产风险辨识、评价工作。</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第八条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公共汽（电）车经营企业必须建立健全生产安全事故隐患排查治理制度及相应的工作方案，建立健全事故隐患治理登记台账，及时进行统计分析上报。</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第九条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公共汽（电）车经营企业发生生产安全事故后，事故现场有关人员应当立即报告本单位负责人。单位负责人接到事故报告后应当立即如实向天津市道路运输管理局和区交通运输行政管理部门报告，不得迟报、漏报、谎报或者瞒报。经营企业应当按照应急预案及时采取应急处置措施。</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第十条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天津市道路运输管理局、天津市交通运输综合行政执法总队和区交通运输行政管理部门定期进行安全检查，督促公共汽（电）车经营企业及时采取措施消除各种安全隐患。</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32"/>
          <w:szCs w:val="32"/>
        </w:rPr>
      </w:pPr>
      <w:r>
        <w:rPr>
          <w:rFonts w:hint="eastAsia" w:ascii="黑体" w:hAnsi="黑体" w:eastAsia="黑体" w:cs="黑体"/>
          <w:b w:val="0"/>
          <w:bCs/>
          <w:color w:val="000000"/>
          <w:sz w:val="32"/>
          <w:szCs w:val="32"/>
        </w:rPr>
        <w:t>第十一条</w:t>
      </w:r>
      <w:r>
        <w:rPr>
          <w:rFonts w:ascii="Times New Roman" w:hAnsi="Times New Roman" w:eastAsia="仿宋_GB2312" w:cs="Times New Roman"/>
          <w:sz w:val="32"/>
          <w:szCs w:val="32"/>
        </w:rPr>
        <w:t xml:space="preserve"> 天津市道路运输管理局、天津市交通运输综合行政执法总队和区交通运输行政管理部门依法开展安全生产行政执法工作，行使以下职权：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（一）进入公共汽（电）车经营企业进行检查，调阅有关资料，向有关单位和人员了解情况；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（二）对检查中发现的安全生产违法行为，当场予以纠正或者要求限期改正；对依法应当给予行政处罚的行为，应当依法作出行政处罚决定。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公共汽（电）车经营企业应当接受城市公共交通主管部门及其工作人员依法实施的监督检查，如实提供有关材料或者说明情况。</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sz w:val="44"/>
          <w:szCs w:val="44"/>
        </w:rPr>
      </w:pPr>
      <w:r>
        <w:rPr>
          <w:rFonts w:hint="eastAsia" w:ascii="黑体" w:hAnsi="黑体" w:eastAsia="黑体" w:cs="黑体"/>
          <w:b w:val="0"/>
          <w:bCs/>
          <w:color w:val="000000"/>
          <w:sz w:val="32"/>
          <w:szCs w:val="32"/>
        </w:rPr>
        <w:t>第十二条</w:t>
      </w:r>
      <w:r>
        <w:rPr>
          <w:rFonts w:ascii="Times New Roman" w:hAnsi="Times New Roman" w:eastAsia="仿宋_GB2312" w:cs="Times New Roman"/>
          <w:sz w:val="32"/>
          <w:szCs w:val="32"/>
        </w:rPr>
        <w:t xml:space="preserve"> 本办法自2021年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 xml:space="preserve"> 日起施行，有效期5年。</w:t>
      </w: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000000" w:themeColor="text1"/>
          <w:kern w:val="36"/>
          <w:sz w:val="32"/>
          <w:szCs w:val="32"/>
        </w:rPr>
      </w:pPr>
    </w:p>
    <w:p>
      <w:pPr>
        <w:spacing w:line="560" w:lineRule="exact"/>
        <w:rPr>
          <w:rFonts w:ascii="Times New Roman" w:hAnsi="Times New Roman" w:eastAsia="仿宋_GB2312" w:cs="Times New Roman"/>
          <w:color w:val="000000" w:themeColor="text1"/>
          <w:kern w:val="36"/>
          <w:sz w:val="32"/>
          <w:szCs w:val="32"/>
        </w:rPr>
      </w:pPr>
      <w:bookmarkStart w:id="1" w:name="_GoBack"/>
      <w:bookmarkEnd w:id="1"/>
    </w:p>
    <w:sectPr>
      <w:headerReference r:id="rId3" w:type="default"/>
      <w:footerReference r:id="rId4" w:type="default"/>
      <w:footerReference r:id="rId5" w:type="even"/>
      <w:pgSz w:w="11906" w:h="16838"/>
      <w:pgMar w:top="2098" w:right="1474" w:bottom="2154"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xMzM4YTU2YjMxZDIwYWMzZTU0NTZmMDM2NWY5OTYifQ=="/>
  </w:docVars>
  <w:rsids>
    <w:rsidRoot w:val="00820CA8"/>
    <w:rsid w:val="00017754"/>
    <w:rsid w:val="0002406D"/>
    <w:rsid w:val="00034BC4"/>
    <w:rsid w:val="0003720E"/>
    <w:rsid w:val="00050E1E"/>
    <w:rsid w:val="00053A38"/>
    <w:rsid w:val="00054194"/>
    <w:rsid w:val="00057B8B"/>
    <w:rsid w:val="00060394"/>
    <w:rsid w:val="000604BF"/>
    <w:rsid w:val="00080359"/>
    <w:rsid w:val="0009170D"/>
    <w:rsid w:val="00092E92"/>
    <w:rsid w:val="000933C0"/>
    <w:rsid w:val="000A169F"/>
    <w:rsid w:val="000A6607"/>
    <w:rsid w:val="000A78CA"/>
    <w:rsid w:val="000A7C7C"/>
    <w:rsid w:val="000B4D74"/>
    <w:rsid w:val="000C55D3"/>
    <w:rsid w:val="000D0B77"/>
    <w:rsid w:val="000D1C55"/>
    <w:rsid w:val="000E3609"/>
    <w:rsid w:val="000F6F99"/>
    <w:rsid w:val="00100609"/>
    <w:rsid w:val="0010367A"/>
    <w:rsid w:val="001056A6"/>
    <w:rsid w:val="00120B5B"/>
    <w:rsid w:val="001338DD"/>
    <w:rsid w:val="001371B2"/>
    <w:rsid w:val="0014634F"/>
    <w:rsid w:val="00147017"/>
    <w:rsid w:val="00157220"/>
    <w:rsid w:val="001654D4"/>
    <w:rsid w:val="001673A1"/>
    <w:rsid w:val="00167406"/>
    <w:rsid w:val="001767D0"/>
    <w:rsid w:val="00177F78"/>
    <w:rsid w:val="00181AFD"/>
    <w:rsid w:val="001841C6"/>
    <w:rsid w:val="00185B4D"/>
    <w:rsid w:val="001902CE"/>
    <w:rsid w:val="0019349D"/>
    <w:rsid w:val="00194F85"/>
    <w:rsid w:val="0019726E"/>
    <w:rsid w:val="00197408"/>
    <w:rsid w:val="001A181D"/>
    <w:rsid w:val="001A28EB"/>
    <w:rsid w:val="001A56B2"/>
    <w:rsid w:val="001B47A3"/>
    <w:rsid w:val="001B7838"/>
    <w:rsid w:val="001C1E92"/>
    <w:rsid w:val="001C6088"/>
    <w:rsid w:val="001C6F12"/>
    <w:rsid w:val="001D43A5"/>
    <w:rsid w:val="002001D4"/>
    <w:rsid w:val="0020042F"/>
    <w:rsid w:val="00214126"/>
    <w:rsid w:val="0021529F"/>
    <w:rsid w:val="00215B66"/>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7908"/>
    <w:rsid w:val="002E00D0"/>
    <w:rsid w:val="002E1752"/>
    <w:rsid w:val="002E5358"/>
    <w:rsid w:val="002F078A"/>
    <w:rsid w:val="002F133F"/>
    <w:rsid w:val="002F3A10"/>
    <w:rsid w:val="002F3AF0"/>
    <w:rsid w:val="002F4162"/>
    <w:rsid w:val="00306483"/>
    <w:rsid w:val="0032300A"/>
    <w:rsid w:val="0032483C"/>
    <w:rsid w:val="003315B6"/>
    <w:rsid w:val="0033241C"/>
    <w:rsid w:val="00333558"/>
    <w:rsid w:val="00345483"/>
    <w:rsid w:val="00345A8D"/>
    <w:rsid w:val="003516A7"/>
    <w:rsid w:val="003561B7"/>
    <w:rsid w:val="003563B6"/>
    <w:rsid w:val="003654BA"/>
    <w:rsid w:val="00365D71"/>
    <w:rsid w:val="003730FC"/>
    <w:rsid w:val="003733DE"/>
    <w:rsid w:val="003913F9"/>
    <w:rsid w:val="00393396"/>
    <w:rsid w:val="00394390"/>
    <w:rsid w:val="003A1AEE"/>
    <w:rsid w:val="003B7624"/>
    <w:rsid w:val="003C1F07"/>
    <w:rsid w:val="003D607D"/>
    <w:rsid w:val="003D6465"/>
    <w:rsid w:val="003E0775"/>
    <w:rsid w:val="003E4CD7"/>
    <w:rsid w:val="003E7784"/>
    <w:rsid w:val="00406895"/>
    <w:rsid w:val="0040754D"/>
    <w:rsid w:val="00410D70"/>
    <w:rsid w:val="0041341C"/>
    <w:rsid w:val="00420273"/>
    <w:rsid w:val="004238BA"/>
    <w:rsid w:val="00426FB5"/>
    <w:rsid w:val="00461B36"/>
    <w:rsid w:val="004728DF"/>
    <w:rsid w:val="004750C2"/>
    <w:rsid w:val="00481780"/>
    <w:rsid w:val="00482D80"/>
    <w:rsid w:val="00487D33"/>
    <w:rsid w:val="00490649"/>
    <w:rsid w:val="004926DB"/>
    <w:rsid w:val="00496E36"/>
    <w:rsid w:val="004A72B1"/>
    <w:rsid w:val="004B2292"/>
    <w:rsid w:val="004B7333"/>
    <w:rsid w:val="004C0074"/>
    <w:rsid w:val="004D081D"/>
    <w:rsid w:val="004D223D"/>
    <w:rsid w:val="004D561D"/>
    <w:rsid w:val="004E29ED"/>
    <w:rsid w:val="004E6827"/>
    <w:rsid w:val="004E704D"/>
    <w:rsid w:val="004F0BCA"/>
    <w:rsid w:val="00506E5D"/>
    <w:rsid w:val="00507C6B"/>
    <w:rsid w:val="00513A8C"/>
    <w:rsid w:val="00520445"/>
    <w:rsid w:val="005337E1"/>
    <w:rsid w:val="00545319"/>
    <w:rsid w:val="00553B6A"/>
    <w:rsid w:val="00556F68"/>
    <w:rsid w:val="00577199"/>
    <w:rsid w:val="005778E8"/>
    <w:rsid w:val="0058227C"/>
    <w:rsid w:val="00583530"/>
    <w:rsid w:val="00591502"/>
    <w:rsid w:val="00594100"/>
    <w:rsid w:val="00595948"/>
    <w:rsid w:val="005A47A4"/>
    <w:rsid w:val="005B12A4"/>
    <w:rsid w:val="005B2E0E"/>
    <w:rsid w:val="005B7FF5"/>
    <w:rsid w:val="005C67FE"/>
    <w:rsid w:val="005D3AEF"/>
    <w:rsid w:val="005E25D0"/>
    <w:rsid w:val="005E366E"/>
    <w:rsid w:val="005F2516"/>
    <w:rsid w:val="006101DC"/>
    <w:rsid w:val="00611395"/>
    <w:rsid w:val="006127D9"/>
    <w:rsid w:val="00617878"/>
    <w:rsid w:val="006362E9"/>
    <w:rsid w:val="006414C9"/>
    <w:rsid w:val="00656C82"/>
    <w:rsid w:val="00656F8C"/>
    <w:rsid w:val="006620D8"/>
    <w:rsid w:val="00662370"/>
    <w:rsid w:val="00662596"/>
    <w:rsid w:val="00665599"/>
    <w:rsid w:val="00666CED"/>
    <w:rsid w:val="00686DA3"/>
    <w:rsid w:val="00691993"/>
    <w:rsid w:val="006956BE"/>
    <w:rsid w:val="006A6FA3"/>
    <w:rsid w:val="006B5766"/>
    <w:rsid w:val="006B5D67"/>
    <w:rsid w:val="006D680B"/>
    <w:rsid w:val="006E2756"/>
    <w:rsid w:val="006F3F33"/>
    <w:rsid w:val="006F5704"/>
    <w:rsid w:val="00701082"/>
    <w:rsid w:val="0070232B"/>
    <w:rsid w:val="0070518E"/>
    <w:rsid w:val="00706C27"/>
    <w:rsid w:val="007148F6"/>
    <w:rsid w:val="00714C3A"/>
    <w:rsid w:val="00725A27"/>
    <w:rsid w:val="007263C5"/>
    <w:rsid w:val="00727DCA"/>
    <w:rsid w:val="00734BCD"/>
    <w:rsid w:val="007379AF"/>
    <w:rsid w:val="00741614"/>
    <w:rsid w:val="00760017"/>
    <w:rsid w:val="00761E66"/>
    <w:rsid w:val="0078654F"/>
    <w:rsid w:val="007A0610"/>
    <w:rsid w:val="007A1CFB"/>
    <w:rsid w:val="007A31E9"/>
    <w:rsid w:val="007B2E35"/>
    <w:rsid w:val="007B666C"/>
    <w:rsid w:val="007C231A"/>
    <w:rsid w:val="007C26B7"/>
    <w:rsid w:val="007C67E7"/>
    <w:rsid w:val="007D1156"/>
    <w:rsid w:val="007E0EFF"/>
    <w:rsid w:val="007F2423"/>
    <w:rsid w:val="007F356F"/>
    <w:rsid w:val="008006C1"/>
    <w:rsid w:val="00803504"/>
    <w:rsid w:val="008110D6"/>
    <w:rsid w:val="008117A0"/>
    <w:rsid w:val="00814677"/>
    <w:rsid w:val="00816D64"/>
    <w:rsid w:val="00817F24"/>
    <w:rsid w:val="00820CA8"/>
    <w:rsid w:val="008225F8"/>
    <w:rsid w:val="00827B19"/>
    <w:rsid w:val="008326DC"/>
    <w:rsid w:val="00855512"/>
    <w:rsid w:val="00855FBD"/>
    <w:rsid w:val="00866BA4"/>
    <w:rsid w:val="00877481"/>
    <w:rsid w:val="00885938"/>
    <w:rsid w:val="008873DB"/>
    <w:rsid w:val="008C471F"/>
    <w:rsid w:val="008D17FF"/>
    <w:rsid w:val="008D24DD"/>
    <w:rsid w:val="00900CB9"/>
    <w:rsid w:val="0092492A"/>
    <w:rsid w:val="00934E8D"/>
    <w:rsid w:val="00937E60"/>
    <w:rsid w:val="0095252C"/>
    <w:rsid w:val="00954ED2"/>
    <w:rsid w:val="00956D1B"/>
    <w:rsid w:val="009668FD"/>
    <w:rsid w:val="00987763"/>
    <w:rsid w:val="0099638F"/>
    <w:rsid w:val="009A1BD6"/>
    <w:rsid w:val="009B5DE2"/>
    <w:rsid w:val="009C22B9"/>
    <w:rsid w:val="009F2C7B"/>
    <w:rsid w:val="00A001C0"/>
    <w:rsid w:val="00A23F4E"/>
    <w:rsid w:val="00A26820"/>
    <w:rsid w:val="00A27302"/>
    <w:rsid w:val="00A27F90"/>
    <w:rsid w:val="00A347D8"/>
    <w:rsid w:val="00A428B9"/>
    <w:rsid w:val="00A45D56"/>
    <w:rsid w:val="00A527E9"/>
    <w:rsid w:val="00A55C05"/>
    <w:rsid w:val="00A567EF"/>
    <w:rsid w:val="00A571E5"/>
    <w:rsid w:val="00A63C53"/>
    <w:rsid w:val="00A75B9F"/>
    <w:rsid w:val="00A872F9"/>
    <w:rsid w:val="00A87AEC"/>
    <w:rsid w:val="00AA4732"/>
    <w:rsid w:val="00AB1E6B"/>
    <w:rsid w:val="00AC41C6"/>
    <w:rsid w:val="00AD5915"/>
    <w:rsid w:val="00AE5BAA"/>
    <w:rsid w:val="00AE5D13"/>
    <w:rsid w:val="00B1265E"/>
    <w:rsid w:val="00B160A0"/>
    <w:rsid w:val="00B24179"/>
    <w:rsid w:val="00B36C96"/>
    <w:rsid w:val="00B447EE"/>
    <w:rsid w:val="00B45735"/>
    <w:rsid w:val="00B45DA0"/>
    <w:rsid w:val="00B47547"/>
    <w:rsid w:val="00B5543D"/>
    <w:rsid w:val="00B577AB"/>
    <w:rsid w:val="00B665B1"/>
    <w:rsid w:val="00B76562"/>
    <w:rsid w:val="00B810DD"/>
    <w:rsid w:val="00B9035C"/>
    <w:rsid w:val="00B90C55"/>
    <w:rsid w:val="00B96942"/>
    <w:rsid w:val="00BA0B43"/>
    <w:rsid w:val="00BA576E"/>
    <w:rsid w:val="00BB43A1"/>
    <w:rsid w:val="00BB7910"/>
    <w:rsid w:val="00BC116B"/>
    <w:rsid w:val="00BC1E92"/>
    <w:rsid w:val="00BC641E"/>
    <w:rsid w:val="00BC66F4"/>
    <w:rsid w:val="00BD0B6E"/>
    <w:rsid w:val="00BE5646"/>
    <w:rsid w:val="00BE5DE1"/>
    <w:rsid w:val="00BE6CEA"/>
    <w:rsid w:val="00BE752C"/>
    <w:rsid w:val="00BF7047"/>
    <w:rsid w:val="00C0026E"/>
    <w:rsid w:val="00C0045C"/>
    <w:rsid w:val="00C01D7A"/>
    <w:rsid w:val="00C01ECA"/>
    <w:rsid w:val="00C152AF"/>
    <w:rsid w:val="00C209C9"/>
    <w:rsid w:val="00C25970"/>
    <w:rsid w:val="00C30D9C"/>
    <w:rsid w:val="00C477EE"/>
    <w:rsid w:val="00C5740A"/>
    <w:rsid w:val="00C73EDC"/>
    <w:rsid w:val="00C76035"/>
    <w:rsid w:val="00C76C7D"/>
    <w:rsid w:val="00C81B69"/>
    <w:rsid w:val="00C82210"/>
    <w:rsid w:val="00C83F02"/>
    <w:rsid w:val="00C870D9"/>
    <w:rsid w:val="00CA1593"/>
    <w:rsid w:val="00CA345A"/>
    <w:rsid w:val="00CA5144"/>
    <w:rsid w:val="00CB5FC1"/>
    <w:rsid w:val="00CC5C44"/>
    <w:rsid w:val="00CD2035"/>
    <w:rsid w:val="00CD4723"/>
    <w:rsid w:val="00D00006"/>
    <w:rsid w:val="00D11D35"/>
    <w:rsid w:val="00D13314"/>
    <w:rsid w:val="00D14EF7"/>
    <w:rsid w:val="00D24657"/>
    <w:rsid w:val="00D324EF"/>
    <w:rsid w:val="00D32CFD"/>
    <w:rsid w:val="00D36778"/>
    <w:rsid w:val="00D4057A"/>
    <w:rsid w:val="00D42EB1"/>
    <w:rsid w:val="00D442C5"/>
    <w:rsid w:val="00D452F7"/>
    <w:rsid w:val="00D536FD"/>
    <w:rsid w:val="00D54AB2"/>
    <w:rsid w:val="00D57883"/>
    <w:rsid w:val="00D60150"/>
    <w:rsid w:val="00D61EA6"/>
    <w:rsid w:val="00D62085"/>
    <w:rsid w:val="00D6511E"/>
    <w:rsid w:val="00D74FC3"/>
    <w:rsid w:val="00D75508"/>
    <w:rsid w:val="00D760B2"/>
    <w:rsid w:val="00D81019"/>
    <w:rsid w:val="00D8322B"/>
    <w:rsid w:val="00D86436"/>
    <w:rsid w:val="00D93A6B"/>
    <w:rsid w:val="00DB1100"/>
    <w:rsid w:val="00DB2299"/>
    <w:rsid w:val="00DB5919"/>
    <w:rsid w:val="00DB5C66"/>
    <w:rsid w:val="00DB6FB4"/>
    <w:rsid w:val="00DF0DE9"/>
    <w:rsid w:val="00DF5782"/>
    <w:rsid w:val="00DF7832"/>
    <w:rsid w:val="00E11D20"/>
    <w:rsid w:val="00E245C2"/>
    <w:rsid w:val="00E34CC6"/>
    <w:rsid w:val="00E37161"/>
    <w:rsid w:val="00E54D54"/>
    <w:rsid w:val="00E663F4"/>
    <w:rsid w:val="00E6714B"/>
    <w:rsid w:val="00E83B98"/>
    <w:rsid w:val="00E854F0"/>
    <w:rsid w:val="00E92200"/>
    <w:rsid w:val="00EA63AB"/>
    <w:rsid w:val="00EC105F"/>
    <w:rsid w:val="00EC1228"/>
    <w:rsid w:val="00EC3EEF"/>
    <w:rsid w:val="00EC5333"/>
    <w:rsid w:val="00ED2057"/>
    <w:rsid w:val="00EE2643"/>
    <w:rsid w:val="00EE36F2"/>
    <w:rsid w:val="00EE3E55"/>
    <w:rsid w:val="00F045BC"/>
    <w:rsid w:val="00F04A49"/>
    <w:rsid w:val="00F13D51"/>
    <w:rsid w:val="00F14B65"/>
    <w:rsid w:val="00F14B71"/>
    <w:rsid w:val="00F23D3B"/>
    <w:rsid w:val="00F24107"/>
    <w:rsid w:val="00F279B9"/>
    <w:rsid w:val="00F34F9D"/>
    <w:rsid w:val="00F37F8A"/>
    <w:rsid w:val="00F55443"/>
    <w:rsid w:val="00F6222D"/>
    <w:rsid w:val="00F70A40"/>
    <w:rsid w:val="00F71961"/>
    <w:rsid w:val="00F74ED4"/>
    <w:rsid w:val="00F75861"/>
    <w:rsid w:val="00F80E09"/>
    <w:rsid w:val="00F84652"/>
    <w:rsid w:val="00F8705C"/>
    <w:rsid w:val="00F96FA2"/>
    <w:rsid w:val="00FA6750"/>
    <w:rsid w:val="00FB0EE0"/>
    <w:rsid w:val="00FB2016"/>
    <w:rsid w:val="00FC30FA"/>
    <w:rsid w:val="00FC3335"/>
    <w:rsid w:val="00FD2A70"/>
    <w:rsid w:val="00FD5ECB"/>
    <w:rsid w:val="00FF0521"/>
    <w:rsid w:val="01C64B54"/>
    <w:rsid w:val="04966B2D"/>
    <w:rsid w:val="08852047"/>
    <w:rsid w:val="0ECB71E5"/>
    <w:rsid w:val="1047087A"/>
    <w:rsid w:val="18B73F35"/>
    <w:rsid w:val="1B432FBD"/>
    <w:rsid w:val="28295C26"/>
    <w:rsid w:val="2C7221DA"/>
    <w:rsid w:val="361071E0"/>
    <w:rsid w:val="36AC163C"/>
    <w:rsid w:val="37BF4023"/>
    <w:rsid w:val="3E0D409C"/>
    <w:rsid w:val="51A33529"/>
    <w:rsid w:val="5EB470E8"/>
    <w:rsid w:val="646146DA"/>
    <w:rsid w:val="66A65F73"/>
    <w:rsid w:val="697B49F0"/>
    <w:rsid w:val="69E85563"/>
    <w:rsid w:val="6AA816AD"/>
    <w:rsid w:val="71EB46B3"/>
    <w:rsid w:val="73722A85"/>
    <w:rsid w:val="74035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607" w:firstLineChars="200"/>
    </w:pPr>
    <w:rPr>
      <w:rFonts w:eastAsia="仿宋_GB2312"/>
      <w:sz w:val="32"/>
    </w:rPr>
  </w:style>
  <w:style w:type="paragraph" w:styleId="3">
    <w:name w:val="Plain Text"/>
    <w:basedOn w:val="1"/>
    <w:link w:val="14"/>
    <w:qFormat/>
    <w:uiPriority w:val="0"/>
    <w:rPr>
      <w:rFonts w:ascii="宋体" w:hAnsi="Courier New" w:eastAsiaTheme="minorEastAsia" w:cstheme="minorBidi"/>
      <w:szCs w:val="22"/>
    </w:rPr>
  </w:style>
  <w:style w:type="paragraph" w:styleId="4">
    <w:name w:val="Date"/>
    <w:basedOn w:val="1"/>
    <w:next w:val="1"/>
    <w:link w:val="15"/>
    <w:qFormat/>
    <w:uiPriority w:val="0"/>
    <w:pPr>
      <w:ind w:left="100" w:leftChars="2500"/>
    </w:pPr>
  </w:style>
  <w:style w:type="paragraph" w:styleId="5">
    <w:name w:val="Balloon Text"/>
    <w:basedOn w:val="1"/>
    <w:link w:val="16"/>
    <w:semiHidden/>
    <w:unhideWhenUsed/>
    <w:qFormat/>
    <w:uiPriority w:val="0"/>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Char"/>
    <w:basedOn w:val="9"/>
    <w:link w:val="7"/>
    <w:qFormat/>
    <w:uiPriority w:val="0"/>
    <w:rPr>
      <w:sz w:val="18"/>
      <w:szCs w:val="18"/>
    </w:rPr>
  </w:style>
  <w:style w:type="character" w:customStyle="1" w:styleId="12">
    <w:name w:val="页脚 Char"/>
    <w:basedOn w:val="9"/>
    <w:link w:val="6"/>
    <w:qFormat/>
    <w:uiPriority w:val="0"/>
    <w:rPr>
      <w:sz w:val="18"/>
      <w:szCs w:val="18"/>
    </w:rPr>
  </w:style>
  <w:style w:type="character" w:customStyle="1" w:styleId="13">
    <w:name w:val="纯文本 Char"/>
    <w:link w:val="3"/>
    <w:qFormat/>
    <w:uiPriority w:val="0"/>
    <w:rPr>
      <w:rFonts w:ascii="宋体" w:hAnsi="Courier New"/>
    </w:rPr>
  </w:style>
  <w:style w:type="character" w:customStyle="1" w:styleId="14">
    <w:name w:val="纯文本 Char1"/>
    <w:basedOn w:val="9"/>
    <w:link w:val="3"/>
    <w:semiHidden/>
    <w:qFormat/>
    <w:uiPriority w:val="99"/>
    <w:rPr>
      <w:rFonts w:ascii="宋体" w:hAnsi="Courier New" w:eastAsia="宋体" w:cs="Courier New"/>
      <w:szCs w:val="21"/>
    </w:rPr>
  </w:style>
  <w:style w:type="character" w:customStyle="1" w:styleId="15">
    <w:name w:val="日期 Char"/>
    <w:basedOn w:val="9"/>
    <w:link w:val="4"/>
    <w:qFormat/>
    <w:uiPriority w:val="0"/>
    <w:rPr>
      <w:rFonts w:ascii="Times New Roman" w:hAnsi="Times New Roman" w:eastAsia="宋体" w:cs="Times New Roman"/>
      <w:szCs w:val="24"/>
    </w:rPr>
  </w:style>
  <w:style w:type="character" w:customStyle="1" w:styleId="16">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E858-359B-439F-8919-A1F7EDDF47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130</Words>
  <Characters>744</Characters>
  <Lines>6</Lines>
  <Paragraphs>1</Paragraphs>
  <TotalTime>6</TotalTime>
  <ScaleCrop>false</ScaleCrop>
  <LinksUpToDate>false</LinksUpToDate>
  <CharactersWithSpaces>873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客管办（政）</dc:creator>
  <cp:lastModifiedBy>道路运输局（政）</cp:lastModifiedBy>
  <cp:lastPrinted>2020-04-02T06:01:00Z</cp:lastPrinted>
  <dcterms:modified xsi:type="dcterms:W3CDTF">2023-07-26T09:40:46Z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87B8A950B38843A89E1EB13B1F4EB25D_12</vt:lpwstr>
  </property>
</Properties>
</file>