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jc w:val="center"/>
        <w:rPr>
          <w:rFonts w:hint="eastAsia" w:ascii="仿宋_GB2312" w:eastAsia="仿宋_GB2312"/>
          <w:color w:val="FF0000"/>
          <w:w w:val="66"/>
          <w:kern w:val="15"/>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天津市交通运输委员会</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关于塘承高速公路（长深高速至滨海新区</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绕城高速段）开通的意见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天津高速公路集团有限公司：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你公司《关于塘承高速公路（长深高速至滨海新区绕城高速）段开通的请示》（津高速运管</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341号）收悉，经研究，提出如下意见：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一、依据《天津市市政公路管理局关于塘承高速公路一期工程初步设计的批复》（市政公路管理规划</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007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554号）、《天津市发展和改革委员会天津市市政公路管理局关于塘承高速公路一期工程车辆通行费收费标准的通知》（津发改价费</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011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1602号）等文件，塘承高速公路一期工程起于规划京港高速公路（南接滨海新区规划西中环快速路），终点接京哈（原京沈）高速公路，全长66.5公里。2011年12月29日，市人民政府批准塘承高速公路一期工程收费事宜，收费年限自2011年12月31日起25年。其中，塘承高速公路（长深高速至京哈高速段）于2011年12月31日开通运营，塘承高速公路（滨海新区西中环至长深高速段）因该时不具备施工条件未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二、鉴于目前塘承高速公路（长深高速至滨海新区绕城高速段）已完成交工验收具备开通条件，原则同意你公司开通塘承高速公路（长深高速至滨海新区绕城高速段）的申请。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三、请你公司进一步做好开通前各项准备工作，尽早实现该路段的开通运营。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天津市交通运输委员会</w:t>
      </w:r>
    </w:p>
    <w:p>
      <w:pPr>
        <w:keepNext w:val="0"/>
        <w:keepLines w:val="0"/>
        <w:pageBreakBefore w:val="0"/>
        <w:widowControl w:val="0"/>
        <w:kinsoku/>
        <w:wordWrap/>
        <w:overflowPunct/>
        <w:topLinePunct w:val="0"/>
        <w:autoSpaceDE/>
        <w:autoSpaceDN/>
        <w:bidi w:val="0"/>
        <w:adjustRightInd/>
        <w:snapToGrid/>
        <w:spacing w:line="640" w:lineRule="exact"/>
        <w:ind w:right="1283" w:rightChars="611"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2020年12月18日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sz w:val="32"/>
          <w:szCs w:val="30"/>
        </w:rPr>
      </w:pPr>
      <w:r>
        <w:rPr>
          <w:rFonts w:ascii="Times New Roman" w:hAnsi="Times New Roman" w:eastAsia="仿宋_GB2312" w:cs="Times New Roman"/>
          <w:sz w:val="32"/>
          <w:szCs w:val="32"/>
        </w:rPr>
        <w:t>（此件主动公开）</w:t>
      </w: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p>
    <w:p>
      <w:pPr>
        <w:spacing w:before="62" w:beforeLines="20" w:line="360" w:lineRule="auto"/>
        <w:rPr>
          <w:rFonts w:eastAsia="仿宋_GB2312"/>
          <w:sz w:val="32"/>
          <w:szCs w:val="30"/>
        </w:rPr>
      </w:pPr>
      <w:bookmarkStart w:id="0" w:name="_GoBack"/>
      <w:bookmarkEnd w:id="0"/>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405130</wp:posOffset>
                </wp:positionV>
                <wp:extent cx="5612130" cy="0"/>
                <wp:effectExtent l="0" t="0" r="0" b="0"/>
                <wp:wrapNone/>
                <wp:docPr id="3" name="直线 7"/>
                <wp:cNvGraphicFramePr/>
                <a:graphic xmlns:a="http://schemas.openxmlformats.org/drawingml/2006/main">
                  <a:graphicData uri="http://schemas.microsoft.com/office/word/2010/wordprocessingShape">
                    <wps:wsp>
                      <wps:cNvCnPr/>
                      <wps:spPr>
                        <a:xfrm>
                          <a:off x="0" y="0"/>
                          <a:ext cx="561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31.9pt;height:0pt;width:441.9pt;z-index:251660288;mso-width-relative:page;mso-height-relative:page;" filled="f" stroked="t" coordsize="21600,21600" o:gfxdata="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38ZnTAAAA&#10;BgEAAA8AAAAAAAAAAQAgAAAAIgAAAGRycy9kb3ducmV2LnhtbFBLAQIUABQAAAAIAIdO4kBCkza+&#10;6QEAANsDAAAOAAAAAAAAAAEAIAAAACIBAABkcnMvZTJvRG9jLnhtbFBLBQYAAAAABgAGAFkBAAB9&#10;BQAAAAA=&#10;">
                <v:fill on="f" focussize="0,0"/>
                <v:stroke color="#000000" joinstyle="round"/>
                <v:imagedata o:title=""/>
                <o:lock v:ext="edit" aspectratio="f"/>
              </v:line>
            </w:pict>
          </mc:Fallback>
        </mc:AlternateContent>
      </w:r>
    </w:p>
    <w:p>
      <w:pPr>
        <w:spacing w:line="360" w:lineRule="auto"/>
        <w:ind w:firstLine="280" w:firstLineChars="100"/>
        <w:rPr>
          <w:rFonts w:hint="eastAsia" w:ascii="仿宋_GB2312" w:eastAsia="仿宋_GB2312"/>
          <w:sz w:val="32"/>
          <w:szCs w:val="32"/>
          <w:lang w:val="en" w:eastAsia="zh-CN"/>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390525</wp:posOffset>
                </wp:positionV>
                <wp:extent cx="5612130" cy="0"/>
                <wp:effectExtent l="0" t="0" r="0" b="0"/>
                <wp:wrapNone/>
                <wp:docPr id="2" name="Line 6"/>
                <wp:cNvGraphicFramePr/>
                <a:graphic xmlns:a="http://schemas.openxmlformats.org/drawingml/2006/main">
                  <a:graphicData uri="http://schemas.microsoft.com/office/word/2010/wordprocessingShape">
                    <wps:wsp>
                      <wps:cNvCnPr/>
                      <wps:spPr>
                        <a:xfrm>
                          <a:off x="0" y="0"/>
                          <a:ext cx="561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0.75pt;margin-top:30.75pt;height:0pt;width:441.9pt;z-index:251659264;mso-width-relative:page;mso-height-relative:page;" filled="f" stroked="t" coordsize="21600,21600" o:gfxdata="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l4zS1gAAAAgBAAAPAAAAAAAA&#10;AAEAIAAAACIAAABkcnMvZG93bnJldi54bWxQSwECFAAUAAAACACHTuJAtdRVf9sBAADZAwAADgAA&#10;AAAAAAABACAAAAAlAQAAZHJzL2Uyb0RvYy54bWxQSwUGAAAAAAYABgBZAQAAcgUAAAAA&#10;">
                <v:fill on="f" focussize="0,0"/>
                <v:stroke color="#000000" joinstyle="round"/>
                <v:imagedata o:title=""/>
                <o:lock v:ext="edit" aspectratio="f"/>
              </v:line>
            </w:pict>
          </mc:Fallback>
        </mc:AlternateContent>
      </w:r>
      <w:r>
        <w:rPr>
          <w:rFonts w:eastAsia="仿宋_GB2312"/>
          <w:sz w:val="28"/>
          <w:szCs w:val="28"/>
        </w:rPr>
        <w:t>天津市交通运输委员会办公室             20</w:t>
      </w:r>
      <w:r>
        <w:rPr>
          <w:rFonts w:hint="eastAsia" w:eastAsia="仿宋_GB2312"/>
          <w:sz w:val="28"/>
          <w:szCs w:val="28"/>
        </w:rPr>
        <w:t>20</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default" w:eastAsia="仿宋_GB2312"/>
          <w:sz w:val="28"/>
          <w:szCs w:val="28"/>
          <w:lang w:val="en"/>
        </w:rPr>
        <w:t>20</w:t>
      </w:r>
      <w:r>
        <w:rPr>
          <w:rFonts w:eastAsia="仿宋_GB2312"/>
          <w:sz w:val="28"/>
          <w:szCs w:val="28"/>
        </w:rPr>
        <w:t>日印</w:t>
      </w:r>
      <w:r>
        <w:rPr>
          <w:rFonts w:hint="eastAsia" w:eastAsia="仿宋_GB2312"/>
          <w:sz w:val="28"/>
          <w:szCs w:val="28"/>
          <w:lang w:eastAsia="zh-CN"/>
        </w:rPr>
        <w:t>发</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2531391E"/>
    <w:rsid w:val="2BDF797A"/>
    <w:rsid w:val="3A7F08BC"/>
    <w:rsid w:val="3AD521D4"/>
    <w:rsid w:val="3EFE26CB"/>
    <w:rsid w:val="3FBF1A8B"/>
    <w:rsid w:val="420524BE"/>
    <w:rsid w:val="4EF7C10B"/>
    <w:rsid w:val="69EF5B3E"/>
    <w:rsid w:val="6B5D37F1"/>
    <w:rsid w:val="6B9B798E"/>
    <w:rsid w:val="6E7F35D4"/>
    <w:rsid w:val="755F15CB"/>
    <w:rsid w:val="784FC3A0"/>
    <w:rsid w:val="79C744A5"/>
    <w:rsid w:val="7ACD5817"/>
    <w:rsid w:val="7EBB756C"/>
    <w:rsid w:val="9F591306"/>
    <w:rsid w:val="9FFF380D"/>
    <w:rsid w:val="CEFF9E13"/>
    <w:rsid w:val="CFFFADCC"/>
    <w:rsid w:val="DBFC0F66"/>
    <w:rsid w:val="DD6CE943"/>
    <w:rsid w:val="DFEFF64D"/>
    <w:rsid w:val="EDDF4AA3"/>
    <w:rsid w:val="EEBFAE87"/>
    <w:rsid w:val="F0F6CCE2"/>
    <w:rsid w:val="F7DF1002"/>
    <w:rsid w:val="FAEA8141"/>
    <w:rsid w:val="FEBE44DA"/>
    <w:rsid w:val="FF2FDCA2"/>
    <w:rsid w:val="FFC74898"/>
    <w:rsid w:val="FFFB4111"/>
    <w:rsid w:val="FFFEFD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rFonts w:ascii="Times New Roman" w:hAnsi="Times New Roman" w:eastAsia="宋体" w:cs="Times New Roman"/>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99"/>
    <w:rPr>
      <w:kern w:val="2"/>
      <w:sz w:val="18"/>
      <w:szCs w:val="18"/>
    </w:rPr>
  </w:style>
  <w:style w:type="character" w:customStyle="1" w:styleId="8">
    <w:name w:val="页眉 Char"/>
    <w:link w:val="4"/>
    <w:qFormat/>
    <w:uiPriority w:val="0"/>
    <w:rPr>
      <w:kern w:val="2"/>
      <w:sz w:val="18"/>
      <w:szCs w:val="18"/>
    </w:rPr>
  </w:style>
  <w:style w:type="character" w:customStyle="1" w:styleId="9">
    <w:name w:val="批注框文本 字符"/>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552</Words>
  <Characters>597</Characters>
  <Lines>21</Lines>
  <Paragraphs>6</Paragraphs>
  <TotalTime>36</TotalTime>
  <ScaleCrop>false</ScaleCrop>
  <LinksUpToDate>false</LinksUpToDate>
  <CharactersWithSpaces>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2020-10-31T18:36:00Z</dcterms:created>
  <dc:creator>clover</dc:creator>
  <cp:lastModifiedBy>金琪</cp:lastModifiedBy>
  <cp:lastPrinted>2020-12-19T23:27:00Z</cp:lastPrinted>
  <dcterms:modified xsi:type="dcterms:W3CDTF">2023-06-13T07:52:50Z</dcterms:modified>
  <dc:title>天 津 市 交 通 运 输 和 港 口 管 理 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896A4AA8FC6F426287BBC26517E66C7E_12</vt:lpwstr>
  </property>
</Properties>
</file>