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5000" w:type="pct"/>
        <w:tblInd w:w="0" w:type="dxa"/>
        <w:tblLayout w:type="fixed"/>
        <w:tblCellMar>
          <w:top w:w="0" w:type="dxa"/>
          <w:left w:w="108" w:type="dxa"/>
          <w:bottom w:w="0" w:type="dxa"/>
          <w:right w:w="108" w:type="dxa"/>
        </w:tblCellMar>
      </w:tblPr>
      <w:tblGrid>
        <w:gridCol w:w="9287"/>
      </w:tblGrid>
      <w:tr>
        <w:tblPrEx>
          <w:tblCellMar>
            <w:top w:w="0" w:type="dxa"/>
            <w:left w:w="108" w:type="dxa"/>
            <w:bottom w:w="0" w:type="dxa"/>
            <w:right w:w="108" w:type="dxa"/>
          </w:tblCellMar>
        </w:tblPrEx>
        <w:tc>
          <w:tcPr>
            <w:tcW w:w="5000" w:type="pct"/>
            <w:tcBorders>
              <w:tl2br w:val="nil"/>
              <w:tr2bl w:val="nil"/>
            </w:tcBorders>
            <w:noWrap/>
            <w:vAlign w:val="center"/>
          </w:tcPr>
          <w:p>
            <w:pPr>
              <w:jc w:val="center"/>
              <w:rPr>
                <w:rFonts w:ascii="宋体" w:hAnsi="宋体"/>
                <w:b/>
                <w:bCs/>
                <w:sz w:val="44"/>
              </w:rPr>
            </w:pPr>
            <w:bookmarkStart w:id="5" w:name="_GoBack"/>
            <w:bookmarkStart w:id="0" w:name="bt"/>
            <w:r>
              <w:rPr>
                <w:rFonts w:hint="eastAsia" w:ascii="宋体" w:hAnsi="宋体"/>
                <w:b/>
                <w:bCs/>
                <w:sz w:val="44"/>
              </w:rPr>
              <w:t>对市政协第十五届一次会议</w:t>
            </w:r>
            <w:r>
              <w:rPr>
                <w:rFonts w:hint="eastAsia" w:ascii="宋体" w:hAnsi="宋体"/>
                <w:b/>
                <w:bCs/>
                <w:sz w:val="44"/>
              </w:rPr>
              <w:br w:type="textWrapping"/>
            </w:r>
            <w:r>
              <w:rPr>
                <w:rFonts w:hint="eastAsia" w:ascii="宋体" w:hAnsi="宋体"/>
                <w:b/>
                <w:bCs/>
                <w:sz w:val="44"/>
              </w:rPr>
              <w:t>第0519号提案的办理答复</w:t>
            </w:r>
            <w:bookmarkEnd w:id="0"/>
            <w:bookmarkEnd w:id="5"/>
          </w:p>
        </w:tc>
      </w:tr>
      <w:tr>
        <w:tblPrEx>
          <w:tblCellMar>
            <w:top w:w="0" w:type="dxa"/>
            <w:left w:w="108" w:type="dxa"/>
            <w:bottom w:w="0" w:type="dxa"/>
            <w:right w:w="108" w:type="dxa"/>
          </w:tblCellMar>
        </w:tblPrEx>
        <w:tc>
          <w:tcPr>
            <w:tcW w:w="5000" w:type="pct"/>
            <w:tcBorders>
              <w:tl2br w:val="nil"/>
              <w:tr2bl w:val="nil"/>
            </w:tcBorders>
            <w:noWrap/>
          </w:tcPr>
          <w:p>
            <w:pPr>
              <w:spacing w:line="560" w:lineRule="exact"/>
              <w:ind w:right="105" w:rightChars="50"/>
              <w:rPr>
                <w:rFonts w:eastAsia="仿宋_GB2312"/>
                <w:sz w:val="32"/>
              </w:rPr>
            </w:pPr>
            <w:bookmarkStart w:id="1" w:name="chenghu"/>
            <w:r>
              <w:rPr>
                <w:rFonts w:hint="eastAsia" w:eastAsia="仿宋_GB2312"/>
                <w:sz w:val="32"/>
              </w:rPr>
              <w:t>严绍勇委员</w:t>
            </w:r>
            <w:bookmarkEnd w:id="1"/>
            <w:r>
              <w:rPr>
                <w:rFonts w:eastAsia="仿宋_GB2312"/>
                <w:sz w:val="32"/>
              </w:rPr>
              <w:t>：</w:t>
            </w:r>
          </w:p>
        </w:tc>
      </w:tr>
      <w:tr>
        <w:tblPrEx>
          <w:tblCellMar>
            <w:top w:w="0" w:type="dxa"/>
            <w:left w:w="108" w:type="dxa"/>
            <w:bottom w:w="0" w:type="dxa"/>
            <w:right w:w="108" w:type="dxa"/>
          </w:tblCellMar>
        </w:tblPrEx>
        <w:tc>
          <w:tcPr>
            <w:tcW w:w="5000" w:type="pct"/>
            <w:tcBorders>
              <w:tl2br w:val="nil"/>
              <w:tr2bl w:val="nil"/>
            </w:tcBorders>
            <w:noWrap/>
          </w:tcPr>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rPr>
              <w:t>您提出的关于加强铁路沿线环境安全隐患源头治理的提案，经会同市规划资源局、市应急局、市公安局、铁路北京局集团天津办事处、市农业农村委、市城市管理委研究答复如下</w:t>
            </w:r>
            <w:bookmarkEnd w:id="2"/>
            <w:r>
              <w:rPr>
                <w:rFonts w:eastAsia="仿宋_GB2312"/>
                <w:sz w:val="32"/>
                <w:szCs w:val="18"/>
              </w:rPr>
              <w:t>：</w:t>
            </w:r>
          </w:p>
        </w:tc>
      </w:tr>
      <w:tr>
        <w:tblPrEx>
          <w:tblCellMar>
            <w:top w:w="0" w:type="dxa"/>
            <w:left w:w="108" w:type="dxa"/>
            <w:bottom w:w="0" w:type="dxa"/>
            <w:right w:w="108" w:type="dxa"/>
          </w:tblCellMar>
        </w:tblPrEx>
        <w:trPr>
          <w:trHeight w:val="1562" w:hRule="atLeast"/>
        </w:trPr>
        <w:tc>
          <w:tcPr>
            <w:tcW w:w="5000" w:type="pct"/>
            <w:tcBorders>
              <w:tl2br w:val="nil"/>
              <w:tr2bl w:val="nil"/>
            </w:tcBorders>
            <w:noWra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105" w:rightChars="50" w:firstLine="640" w:firstLineChars="200"/>
              <w:textAlignment w:val="auto"/>
              <w:rPr>
                <w:rFonts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完善长效机制，压实治理责任</w:t>
            </w:r>
          </w:p>
          <w:p>
            <w:pPr>
              <w:spacing w:line="579" w:lineRule="exact"/>
              <w:ind w:firstLine="640" w:firstLineChars="200"/>
              <w:rPr>
                <w:rFonts w:eastAsia="仿宋_GB2312"/>
                <w:sz w:val="32"/>
                <w:szCs w:val="18"/>
              </w:rPr>
            </w:pPr>
            <w:r>
              <w:rPr>
                <w:rFonts w:hint="eastAsia" w:eastAsia="仿宋_GB2312"/>
                <w:sz w:val="32"/>
                <w:szCs w:val="18"/>
              </w:rPr>
              <w:t>为进一步加强铁路沿线安全环境治理工作，建立治理工作长效机制，我委先后制定出台了《天津市铁路安全管理规定》（市人民政府第28号令）、《关于加强天津市铁路沿线安全环境治理工作若干措施》（津政办发〔2022〕7号）、《天津市铁路沿线安全环境治理联席会议制度》（津铁安治联〔2022〕1号），完善了铁路沿线安全环境治理“双段长”人员名册，转发了《铁路沿线安全环境治理工作指南（2022版）》，明确了铁路运输企业主体责任、</w:t>
            </w:r>
            <w:r>
              <w:rPr>
                <w:rFonts w:hint="eastAsia" w:ascii="仿宋_GB2312" w:hAnsi="仿宋_GB2312" w:eastAsia="仿宋_GB2312" w:cs="仿宋_GB2312"/>
                <w:sz w:val="32"/>
                <w:szCs w:val="32"/>
              </w:rPr>
              <w:t>铁路监督管理机构专业监管责任、</w:t>
            </w:r>
            <w:r>
              <w:rPr>
                <w:rFonts w:hint="eastAsia" w:eastAsia="仿宋_GB2312"/>
                <w:sz w:val="32"/>
                <w:szCs w:val="18"/>
              </w:rPr>
              <w:t>地方属地政府治理责任和铁路沿线防尘网、塑料薄膜、危树、彩钢板（瓦）、废品收购站等市相关行业主管部门监管责任，深入推动建立健全隐患治理常态化工作机制，提升铁路沿线安全管控水平。</w:t>
            </w:r>
          </w:p>
          <w:p>
            <w:pPr>
              <w:spacing w:line="579" w:lineRule="exact"/>
              <w:ind w:firstLine="640" w:firstLineChars="200"/>
              <w:rPr>
                <w:rFonts w:eastAsia="仿宋_GB2312"/>
                <w:sz w:val="32"/>
                <w:szCs w:val="18"/>
              </w:rPr>
            </w:pPr>
            <w:r>
              <w:rPr>
                <w:rFonts w:hint="eastAsia" w:eastAsia="黑体"/>
                <w:sz w:val="32"/>
                <w:szCs w:val="32"/>
              </w:rPr>
              <w:t>二、</w:t>
            </w:r>
            <w:r>
              <w:rPr>
                <w:rFonts w:eastAsia="黑体"/>
                <w:sz w:val="32"/>
                <w:szCs w:val="32"/>
              </w:rPr>
              <w:t>扎实推进治理</w:t>
            </w:r>
            <w:r>
              <w:rPr>
                <w:rFonts w:hint="eastAsia" w:eastAsia="黑体"/>
                <w:sz w:val="32"/>
                <w:szCs w:val="32"/>
              </w:rPr>
              <w:t>，持续消除隐患</w:t>
            </w:r>
          </w:p>
          <w:p>
            <w:pPr>
              <w:spacing w:line="579" w:lineRule="exact"/>
              <w:ind w:firstLine="640" w:firstLineChars="200"/>
              <w:rPr>
                <w:rFonts w:hint="eastAsia" w:ascii="仿宋_GB2312" w:hAnsi="仿宋_GB2312" w:eastAsia="仿宋_GB2312" w:cs="仿宋_GB2312"/>
                <w:sz w:val="32"/>
                <w:szCs w:val="32"/>
              </w:rPr>
            </w:pPr>
            <w:r>
              <w:rPr>
                <w:rFonts w:eastAsia="仿宋_GB2312"/>
                <w:sz w:val="32"/>
                <w:szCs w:val="32"/>
              </w:rPr>
              <w:t>2020年</w:t>
            </w:r>
            <w:r>
              <w:rPr>
                <w:rFonts w:hint="eastAsia" w:eastAsia="仿宋_GB2312"/>
                <w:sz w:val="32"/>
                <w:szCs w:val="32"/>
              </w:rPr>
              <w:t>7</w:t>
            </w:r>
            <w:r>
              <w:rPr>
                <w:rFonts w:eastAsia="仿宋_GB2312"/>
                <w:sz w:val="32"/>
                <w:szCs w:val="32"/>
              </w:rPr>
              <w:t>月以来</w:t>
            </w:r>
            <w:r>
              <w:rPr>
                <w:rFonts w:hint="eastAsia" w:eastAsia="仿宋_GB2312"/>
                <w:sz w:val="32"/>
                <w:szCs w:val="32"/>
              </w:rPr>
              <w:t>，按照市委市政府工作要求，我市高度重视铁路沿线安全环境隐患治理工作，先后组织</w:t>
            </w:r>
            <w:r>
              <w:rPr>
                <w:rFonts w:eastAsia="仿宋_GB2312"/>
                <w:sz w:val="32"/>
                <w:szCs w:val="32"/>
              </w:rPr>
              <w:t>开展了普速铁路沿线专项整治</w:t>
            </w:r>
            <w:r>
              <w:rPr>
                <w:rFonts w:hint="eastAsia" w:eastAsia="仿宋_GB2312"/>
                <w:sz w:val="32"/>
                <w:szCs w:val="32"/>
              </w:rPr>
              <w:t>、</w:t>
            </w:r>
            <w:r>
              <w:rPr>
                <w:rFonts w:eastAsia="仿宋_GB2312"/>
                <w:sz w:val="32"/>
                <w:szCs w:val="32"/>
              </w:rPr>
              <w:t>高铁沿线“回头看”和普铁沿线</w:t>
            </w:r>
            <w:r>
              <w:rPr>
                <w:rFonts w:hint="eastAsia" w:eastAsia="仿宋_GB2312"/>
                <w:sz w:val="32"/>
                <w:szCs w:val="32"/>
              </w:rPr>
              <w:t>“</w:t>
            </w:r>
            <w:r>
              <w:rPr>
                <w:rFonts w:eastAsia="仿宋_GB2312"/>
                <w:sz w:val="32"/>
                <w:szCs w:val="32"/>
              </w:rPr>
              <w:t>100-500米</w:t>
            </w:r>
            <w:r>
              <w:rPr>
                <w:rFonts w:hint="eastAsia" w:eastAsia="仿宋_GB2312"/>
                <w:sz w:val="32"/>
                <w:szCs w:val="32"/>
              </w:rPr>
              <w:t>”</w:t>
            </w:r>
            <w:r>
              <w:rPr>
                <w:rFonts w:eastAsia="仿宋_GB2312"/>
                <w:sz w:val="32"/>
                <w:szCs w:val="32"/>
              </w:rPr>
              <w:t>隐患治理、铁路沿线环境安全隐患整治“回头看”、京哈线、津秦高铁暑期专运线隐患治理、雪后铁路沿线安全环境隐患治理、</w:t>
            </w:r>
            <w:r>
              <w:rPr>
                <w:rFonts w:hint="eastAsia" w:eastAsia="仿宋_GB2312"/>
                <w:sz w:val="32"/>
                <w:szCs w:val="32"/>
              </w:rPr>
              <w:t>天津市铁路沿线安全环境专项治理和</w:t>
            </w:r>
            <w:r>
              <w:rPr>
                <w:rFonts w:hint="eastAsia" w:eastAsia="仿宋_GB2312"/>
                <w:kern w:val="0"/>
                <w:sz w:val="32"/>
                <w:szCs w:val="32"/>
              </w:rPr>
              <w:t>迎接党的“二十大”专项治理行动</w:t>
            </w:r>
            <w:r>
              <w:rPr>
                <w:rFonts w:hint="eastAsia" w:ascii="仿宋_GB2312" w:eastAsia="仿宋_GB2312"/>
                <w:sz w:val="32"/>
                <w:szCs w:val="32"/>
              </w:rPr>
              <w:t>等</w:t>
            </w:r>
            <w:r>
              <w:rPr>
                <w:rFonts w:hint="eastAsia" w:eastAsia="仿宋_GB2312"/>
                <w:sz w:val="32"/>
                <w:szCs w:val="32"/>
              </w:rPr>
              <w:t>6次专项治理工作，制定工作方案，</w:t>
            </w:r>
            <w:r>
              <w:rPr>
                <w:rFonts w:eastAsia="仿宋_GB2312"/>
                <w:sz w:val="32"/>
                <w:szCs w:val="32"/>
              </w:rPr>
              <w:t>明确责任分工，细化整治措施，积极协调推进</w:t>
            </w:r>
            <w:r>
              <w:rPr>
                <w:rFonts w:hint="eastAsia" w:eastAsia="仿宋_GB2312"/>
                <w:sz w:val="32"/>
                <w:szCs w:val="32"/>
              </w:rPr>
              <w:t>，按照市城市管理委印发的《天津市关于建立铁路沿线环境管理“双段长”制工作方案》，压实路地“双段长”责任，以消除隐患为</w:t>
            </w:r>
            <w:r>
              <w:rPr>
                <w:rFonts w:eastAsia="仿宋_GB2312"/>
                <w:sz w:val="32"/>
                <w:szCs w:val="32"/>
              </w:rPr>
              <w:t>重点</w:t>
            </w:r>
            <w:r>
              <w:rPr>
                <w:rFonts w:hint="eastAsia" w:eastAsia="仿宋_GB2312"/>
                <w:sz w:val="32"/>
                <w:szCs w:val="32"/>
              </w:rPr>
              <w:t>，狠抓工作落实，</w:t>
            </w:r>
            <w:r>
              <w:rPr>
                <w:rFonts w:hint="eastAsia" w:eastAsia="仿宋_GB2312"/>
                <w:kern w:val="0"/>
                <w:sz w:val="32"/>
                <w:szCs w:val="32"/>
              </w:rPr>
              <w:t>梳理了铁路沿线安全环境隐患排查整治工作流程，</w:t>
            </w:r>
            <w:r>
              <w:rPr>
                <w:rFonts w:hint="eastAsia" w:eastAsia="仿宋_GB2312"/>
                <w:color w:val="000000"/>
                <w:sz w:val="32"/>
                <w:szCs w:val="32"/>
              </w:rPr>
              <w:t>规范了铁路沿线安全隐患治理互签确认销号工作</w:t>
            </w:r>
            <w:r>
              <w:rPr>
                <w:rFonts w:hint="eastAsia" w:eastAsia="仿宋_GB2312"/>
                <w:sz w:val="32"/>
                <w:szCs w:val="32"/>
              </w:rPr>
              <w:t>，</w:t>
            </w:r>
            <w:r>
              <w:rPr>
                <w:rFonts w:eastAsia="仿宋_GB2312"/>
                <w:sz w:val="32"/>
                <w:szCs w:val="32"/>
              </w:rPr>
              <w:t>发现治理铁路沿线安全环境隐患</w:t>
            </w:r>
            <w:r>
              <w:rPr>
                <w:rFonts w:hint="eastAsia" w:eastAsia="仿宋_GB2312"/>
                <w:sz w:val="32"/>
                <w:szCs w:val="32"/>
              </w:rPr>
              <w:t>2522</w:t>
            </w:r>
            <w:r>
              <w:rPr>
                <w:rFonts w:eastAsia="仿宋_GB2312"/>
                <w:sz w:val="32"/>
                <w:szCs w:val="32"/>
              </w:rPr>
              <w:t>处</w:t>
            </w:r>
            <w:r>
              <w:rPr>
                <w:rFonts w:hint="eastAsia" w:eastAsia="仿宋_GB2312"/>
                <w:sz w:val="32"/>
                <w:szCs w:val="32"/>
              </w:rPr>
              <w:t>，</w:t>
            </w:r>
            <w:r>
              <w:rPr>
                <w:rFonts w:hint="eastAsia" w:ascii="仿宋_GB2312" w:hAnsi="仿宋_GB2312" w:eastAsia="仿宋_GB2312" w:cs="仿宋_GB2312"/>
                <w:sz w:val="32"/>
                <w:szCs w:val="32"/>
              </w:rPr>
              <w:t>实现天津区域内铁路沿线安全环境明显改善。</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城市管理委通过清除各类脏乱死角、清理各类乱堆乱放垃圾、维修整饰破损广告牌匾，修剪城市树木等工作，彻底解决了因环境影响铁路运行安全的各类城市管理问题。市公安局对废旧金属回收依法实施治安管理。市规划资源局进一步强化了沿线危树治理、安全保护区内违法行为的整治、界外绿化修复和沿线地质灾害防治等相关举措。市农业农村委将铁路沿线卫生环境清洁整治和管护保持作为突出重点，就加强铁路沿线乡村生活垃圾管理纳入美丽乡村治理范畴。市应急局起草了市安委会年度工作要点，明确持续开展铁路沿线安全环境治理的工作任务，对加强高铁、旅客列车、货物运输安全管理，强化高速铁路隧道口等重点区段护路巡防、视频监控等工作作出部署，</w:t>
            </w:r>
            <w:r>
              <w:rPr>
                <w:rFonts w:eastAsia="仿宋_GB2312"/>
                <w:sz w:val="32"/>
                <w:szCs w:val="32"/>
              </w:rPr>
              <w:t>研究建立铁路沿线危树隐患快速处置机制</w:t>
            </w:r>
            <w:r>
              <w:rPr>
                <w:rFonts w:hint="eastAsia" w:eastAsia="仿宋_GB2312"/>
                <w:sz w:val="32"/>
                <w:szCs w:val="32"/>
              </w:rPr>
              <w:t>、</w:t>
            </w:r>
            <w:r>
              <w:rPr>
                <w:rFonts w:eastAsia="仿宋_GB2312"/>
                <w:sz w:val="32"/>
                <w:szCs w:val="32"/>
              </w:rPr>
              <w:t>优化铁路沿线扬尘治理方式</w:t>
            </w:r>
            <w:r>
              <w:rPr>
                <w:rFonts w:hint="eastAsia" w:eastAsia="仿宋_GB2312"/>
                <w:sz w:val="32"/>
                <w:szCs w:val="32"/>
              </w:rPr>
              <w:t>等防范措施。</w:t>
            </w:r>
          </w:p>
          <w:p>
            <w:pPr>
              <w:pStyle w:val="2"/>
              <w:spacing w:after="0" w:line="560" w:lineRule="exact"/>
              <w:ind w:left="0" w:leftChars="0" w:firstLine="64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今年以来，为落实党的“二十大”对安全生产工作的决策部署，深刻汲取津秦高铁唐山汉沽管理区临津产业园燃气管道泄露爆燃事故教训，全面抓好铁路沿线安全环境治理工作，我委高度重视，紧盯岁末年初、春运和“两会”等重点时期，制定印发了《关于加强岁末年初铁路沿线安全环境治理工作的通知》，在春运和“两会”期间组织市联席办公室对铁路沿线各相关区“双段长”制落实情况和隐患移交治理情况开展督导检查，现场查看隐患点位13处，</w:t>
            </w:r>
            <w:r>
              <w:rPr>
                <w:rFonts w:hint="default" w:ascii="Times New Roman" w:hAnsi="Times New Roman" w:eastAsia="仿宋_GB2312" w:cs="Times New Roman"/>
                <w:kern w:val="2"/>
                <w:sz w:val="32"/>
                <w:szCs w:val="32"/>
                <w:lang w:val="en-US" w:eastAsia="zh-CN" w:bidi="ar-SA"/>
              </w:rPr>
              <w:t>下发10份督导检查记录表</w:t>
            </w:r>
            <w:r>
              <w:rPr>
                <w:rFonts w:hint="eastAsia" w:eastAsia="仿宋_GB2312" w:cs="Times New Roman"/>
                <w:kern w:val="2"/>
                <w:sz w:val="32"/>
                <w:szCs w:val="32"/>
                <w:lang w:val="en-US" w:eastAsia="zh-CN" w:bidi="ar-SA"/>
              </w:rPr>
              <w:t>，全力保障铁路运输安全</w:t>
            </w:r>
            <w:r>
              <w:rPr>
                <w:rFonts w:hint="eastAsia" w:ascii="仿宋_GB2312" w:hAnsi="仿宋_GB2312" w:eastAsia="仿宋_GB2312" w:cs="仿宋_GB2312"/>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1月19日</w:t>
            </w:r>
            <w:r>
              <w:rPr>
                <w:rFonts w:hint="eastAsia" w:ascii="仿宋_GB2312" w:hAnsi="仿宋_GB2312" w:eastAsia="仿宋_GB2312" w:cs="仿宋_GB2312"/>
                <w:kern w:val="2"/>
                <w:sz w:val="32"/>
                <w:szCs w:val="32"/>
                <w:lang w:val="en-US" w:eastAsia="zh-CN" w:bidi="ar-SA"/>
              </w:rPr>
              <w:t>，按照市领导同志对</w:t>
            </w:r>
            <w:r>
              <w:rPr>
                <w:rFonts w:ascii="Times New Roman" w:hAnsi="Times New Roman" w:eastAsia="仿宋_GB2312"/>
                <w:kern w:val="0"/>
                <w:sz w:val="32"/>
                <w:szCs w:val="32"/>
              </w:rPr>
              <w:t>《</w:t>
            </w:r>
            <w:r>
              <w:rPr>
                <w:rFonts w:hint="eastAsia" w:eastAsia="仿宋_GB2312"/>
                <w:kern w:val="0"/>
                <w:sz w:val="32"/>
                <w:szCs w:val="32"/>
              </w:rPr>
              <w:t>关于进一</w:t>
            </w:r>
            <w:r>
              <w:rPr>
                <w:rFonts w:ascii="Times New Roman" w:hAnsi="Times New Roman" w:eastAsia="仿宋_GB2312"/>
                <w:kern w:val="0"/>
                <w:sz w:val="32"/>
                <w:szCs w:val="32"/>
              </w:rPr>
              <w:t>步加强公路水路与铁路并行交汇地段安全隐患治理工作意见》（国铁综安监〔2022〕7号）</w:t>
            </w:r>
            <w:r>
              <w:rPr>
                <w:rFonts w:hint="eastAsia" w:eastAsia="仿宋_GB2312"/>
                <w:kern w:val="0"/>
                <w:sz w:val="32"/>
                <w:szCs w:val="32"/>
              </w:rPr>
              <w:t>的批示要求，维护铁路安全持续稳定</w:t>
            </w:r>
            <w:r>
              <w:rPr>
                <w:rFonts w:hint="eastAsia" w:eastAsia="仿宋_GB2312"/>
                <w:kern w:val="0"/>
                <w:sz w:val="32"/>
                <w:szCs w:val="32"/>
                <w:lang w:eastAsia="zh-CN"/>
              </w:rPr>
              <w:t>，</w:t>
            </w:r>
            <w:r>
              <w:rPr>
                <w:rFonts w:hint="eastAsia" w:ascii="仿宋_GB2312" w:hAnsi="仿宋_GB2312" w:eastAsia="仿宋_GB2312" w:cs="仿宋_GB2312"/>
                <w:kern w:val="2"/>
                <w:sz w:val="32"/>
                <w:szCs w:val="32"/>
                <w:lang w:val="en-US" w:eastAsia="zh-CN" w:bidi="ar-SA"/>
              </w:rPr>
              <w:t>针对铁路沿线油气管线和公路水路与铁路并行交汇地段等重点领域，制定印发了</w:t>
            </w:r>
            <w:r>
              <w:rPr>
                <w:rFonts w:hint="eastAsia" w:eastAsia="仿宋_GB2312"/>
                <w:sz w:val="32"/>
                <w:szCs w:val="32"/>
                <w:lang w:eastAsia="zh-CN"/>
              </w:rPr>
              <w:t>《关于开展我市铁路沿线油气管线和公跨铁桥梁隐患排查治理工作的通知》，道刚副主任专门组织召开工作推动会，进一步建立工作对接机制，明确责任边界，部署下一步治理工作，督促相关单位成立专项督导检查组，紧盯隐患整改，确保治理工作落到实处。</w:t>
            </w:r>
          </w:p>
          <w:p>
            <w:pPr>
              <w:pStyle w:val="2"/>
              <w:spacing w:after="0" w:line="560" w:lineRule="exact"/>
              <w:ind w:left="0" w:leftChars="0" w:firstLine="640"/>
              <w:rPr>
                <w:rFonts w:ascii="黑体" w:hAnsi="黑体" w:eastAsia="黑体" w:cs="黑体"/>
                <w:sz w:val="32"/>
                <w:szCs w:val="32"/>
              </w:rPr>
            </w:pPr>
            <w:r>
              <w:rPr>
                <w:rFonts w:hint="eastAsia" w:ascii="黑体" w:hAnsi="黑体" w:eastAsia="黑体" w:cs="黑体"/>
                <w:sz w:val="32"/>
                <w:szCs w:val="32"/>
              </w:rPr>
              <w:t>三、铁路沿线绿化与城市绿化体系融合</w:t>
            </w:r>
          </w:p>
          <w:p>
            <w:pPr>
              <w:pStyle w:val="2"/>
              <w:spacing w:after="0" w:line="560" w:lineRule="exact"/>
              <w:ind w:left="0" w:leftChars="0" w:firstLine="640"/>
              <w:rPr>
                <w:rFonts w:ascii="仿宋_GB2312" w:hAnsi="仿宋_GB2312" w:eastAsia="仿宋_GB2312" w:cs="仿宋_GB2312"/>
                <w:sz w:val="32"/>
                <w:szCs w:val="32"/>
              </w:rPr>
            </w:pPr>
            <w:r>
              <w:rPr>
                <w:rFonts w:eastAsia="仿宋_GB2312"/>
                <w:sz w:val="32"/>
                <w:szCs w:val="32"/>
              </w:rPr>
              <w:t>2021年，市规划资源局组织制定了《天津市营造林管理办法》，明确规定：营造林生产应遵守相关行业的法律法规。铁路线路安全保护区范围内不能实施造林，铁路线路安全保护区范围外30米以内不能栽植高大乔木。《天津市营造林管理办法》已经印发各涉农区执行。2008年以来，我市农村地区连续多年开展大规模造林绿化，公路、铁路绿化等绿色通道建设是我市造林绿化的重要内容，目前我市主要公路、铁路两侧也已基本完成绿化。2020年9月</w:t>
            </w:r>
            <w:r>
              <w:rPr>
                <w:rFonts w:hint="eastAsia" w:ascii="仿宋_GB2312" w:hAnsi="仿宋_GB2312" w:eastAsia="仿宋_GB2312" w:cs="仿宋_GB2312"/>
                <w:sz w:val="32"/>
                <w:szCs w:val="32"/>
              </w:rPr>
              <w:t>以来，国务院办公厅印发了《关于坚决制止耕地“非农化”行为的通知》，通知要求落实好最严格的耕地保护制度，禁止占用耕地植树造林。</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四、下一步工作</w:t>
            </w:r>
          </w:p>
          <w:p>
            <w:pPr>
              <w:spacing w:line="560" w:lineRule="exact"/>
              <w:ind w:firstLine="640" w:firstLineChars="200"/>
              <w:rPr>
                <w:rFonts w:ascii="黑体" w:hAnsi="黑体" w:eastAsia="黑体"/>
                <w:sz w:val="32"/>
                <w:szCs w:val="32"/>
              </w:rPr>
            </w:pPr>
            <w:r>
              <w:rPr>
                <w:rFonts w:hint="eastAsia" w:ascii="仿宋_GB2312" w:hAnsi="仿宋_GB2312" w:eastAsia="仿宋_GB2312" w:cs="仿宋_GB2312"/>
                <w:sz w:val="32"/>
                <w:szCs w:val="32"/>
              </w:rPr>
              <w:t>铁路沿线安全环境隐患具有复杂性、历史性、突发性和反复性等特点，是一项长期性、常态化的工作任务。我委将进一步发挥“双段长”制和联席会议制度作用，与国家铁路局北京铁路督察室统筹协调各方力量，形成整治工作合力，推动解决重点难点问题，建立健全治理长效机制，增强铁路段长与地方段长沟通对接研究解决问题的主动性，压实“双段长”责任，落实日常巡查计划，对已整治的点位加大巡查力度，严防治理完成的隐患反弹。参照国家出台的轻飘物、硬飘物、危树等安全隐患整治工作指南，积极对接国家铁路局北京铁路督察室和市相关部门协商研究</w:t>
            </w:r>
            <w:r>
              <w:rPr>
                <w:rFonts w:hint="eastAsia" w:ascii="仿宋_GB2312" w:hAnsi="仿宋_GB2312" w:eastAsia="仿宋_GB2312" w:cs="仿宋_GB2312"/>
                <w:sz w:val="32"/>
                <w:szCs w:val="32"/>
                <w:lang w:val="en-US" w:eastAsia="zh-CN"/>
              </w:rPr>
              <w:t>安全</w:t>
            </w:r>
            <w:r>
              <w:rPr>
                <w:rFonts w:hint="eastAsia" w:ascii="仿宋_GB2312" w:hAnsi="仿宋_GB2312" w:eastAsia="仿宋_GB2312" w:cs="仿宋_GB2312"/>
                <w:sz w:val="32"/>
                <w:szCs w:val="32"/>
              </w:rPr>
              <w:t>隐患整治工作指南，全面加强铁路沿线安全环境隐患治理工作。</w:t>
            </w:r>
          </w:p>
        </w:tc>
      </w:tr>
      <w:tr>
        <w:tblPrEx>
          <w:tblCellMar>
            <w:top w:w="0" w:type="dxa"/>
            <w:left w:w="108" w:type="dxa"/>
            <w:bottom w:w="0" w:type="dxa"/>
            <w:right w:w="108" w:type="dxa"/>
          </w:tblCellMar>
        </w:tblPrEx>
        <w:tc>
          <w:tcPr>
            <w:tcW w:w="5000" w:type="pct"/>
            <w:tcBorders>
              <w:tl2br w:val="nil"/>
              <w:tr2bl w:val="nil"/>
            </w:tcBorders>
            <w:noWrap/>
          </w:tcPr>
          <w:p>
            <w:pPr>
              <w:spacing w:line="560" w:lineRule="exact"/>
              <w:ind w:firstLine="640" w:firstLineChars="200"/>
              <w:rPr>
                <w:rFonts w:ascii="仿宋_GB2312" w:eastAsia="仿宋_GB2312"/>
                <w:sz w:val="32"/>
              </w:rPr>
            </w:pPr>
          </w:p>
          <w:p>
            <w:pPr>
              <w:spacing w:line="480" w:lineRule="exact"/>
              <w:ind w:right="105" w:rightChars="50"/>
              <w:jc w:val="right"/>
              <w:rPr>
                <w:rFonts w:ascii="仿宋_GB2312" w:eastAsia="仿宋_GB2312"/>
                <w:sz w:val="32"/>
              </w:rPr>
            </w:pPr>
            <w:bookmarkStart w:id="3" w:name="now"/>
            <w:r>
              <w:rPr>
                <w:rFonts w:eastAsia="仿宋_GB2312"/>
                <w:sz w:val="32"/>
              </w:rPr>
              <w:t>2023年</w:t>
            </w:r>
            <w:r>
              <w:rPr>
                <w:rFonts w:hint="default" w:eastAsia="仿宋_GB2312"/>
                <w:sz w:val="32"/>
                <w:lang w:val="en"/>
              </w:rPr>
              <w:t>4</w:t>
            </w:r>
            <w:r>
              <w:rPr>
                <w:rFonts w:eastAsia="仿宋_GB2312"/>
                <w:sz w:val="32"/>
              </w:rPr>
              <w:t>月</w:t>
            </w:r>
            <w:r>
              <w:rPr>
                <w:rFonts w:hint="eastAsia" w:eastAsia="仿宋_GB2312"/>
                <w:sz w:val="32"/>
              </w:rPr>
              <w:t>1</w:t>
            </w:r>
            <w:r>
              <w:rPr>
                <w:rFonts w:hint="default" w:eastAsia="仿宋_GB2312"/>
                <w:sz w:val="32"/>
                <w:lang w:val="en"/>
              </w:rPr>
              <w:t>2</w:t>
            </w:r>
            <w:r>
              <w:rPr>
                <w:rFonts w:eastAsia="仿宋_GB2312"/>
                <w:sz w:val="32"/>
              </w:rPr>
              <w:t>日</w:t>
            </w:r>
            <w:bookmarkEnd w:id="3"/>
          </w:p>
        </w:tc>
      </w:tr>
    </w:tbl>
    <w:p>
      <w:pPr>
        <w:spacing w:line="20" w:lineRule="exact"/>
        <w:ind w:right="1151" w:rightChars="548"/>
      </w:pPr>
      <w:bookmarkStart w:id="4" w:name="fyr"/>
      <w:bookmarkEnd w:id="4"/>
    </w:p>
    <w:sectPr>
      <w:headerReference r:id="rId3" w:type="default"/>
      <w:footerReference r:id="rId4" w:type="default"/>
      <w:footerReference r:id="rId5" w:type="even"/>
      <w:pgSz w:w="11906" w:h="16838"/>
      <w:pgMar w:top="2098" w:right="1361"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2</w:t>
    </w:r>
    <w:r>
      <w:rPr>
        <w:rStyle w:val="13"/>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5NDFjMWIzYjVhYWZiZDBlOWM3M2MzYTk2NTcxNmUifQ=="/>
  </w:docVars>
  <w:rsids>
    <w:rsidRoot w:val="00172A27"/>
    <w:rsid w:val="0008725F"/>
    <w:rsid w:val="00116DAE"/>
    <w:rsid w:val="00151656"/>
    <w:rsid w:val="00160D66"/>
    <w:rsid w:val="00172A27"/>
    <w:rsid w:val="0018011C"/>
    <w:rsid w:val="00181F02"/>
    <w:rsid w:val="001A7225"/>
    <w:rsid w:val="001F61E3"/>
    <w:rsid w:val="00222730"/>
    <w:rsid w:val="002371A3"/>
    <w:rsid w:val="00261F6E"/>
    <w:rsid w:val="00272F04"/>
    <w:rsid w:val="00272F5E"/>
    <w:rsid w:val="00296F01"/>
    <w:rsid w:val="002B29B1"/>
    <w:rsid w:val="002C1912"/>
    <w:rsid w:val="002E3863"/>
    <w:rsid w:val="002F0464"/>
    <w:rsid w:val="002F2BA0"/>
    <w:rsid w:val="00307EB1"/>
    <w:rsid w:val="003308ED"/>
    <w:rsid w:val="00354A16"/>
    <w:rsid w:val="00372068"/>
    <w:rsid w:val="00375D6E"/>
    <w:rsid w:val="00382172"/>
    <w:rsid w:val="00411F34"/>
    <w:rsid w:val="004277E8"/>
    <w:rsid w:val="00431C2E"/>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04C3"/>
    <w:rsid w:val="00953B90"/>
    <w:rsid w:val="009819FD"/>
    <w:rsid w:val="00982E66"/>
    <w:rsid w:val="009A0C11"/>
    <w:rsid w:val="009A5A86"/>
    <w:rsid w:val="009F266E"/>
    <w:rsid w:val="009F568A"/>
    <w:rsid w:val="00A01DE8"/>
    <w:rsid w:val="00A03B4F"/>
    <w:rsid w:val="00AE0062"/>
    <w:rsid w:val="00B21A65"/>
    <w:rsid w:val="00B32F4D"/>
    <w:rsid w:val="00B67BF0"/>
    <w:rsid w:val="00B96B7B"/>
    <w:rsid w:val="00C01E01"/>
    <w:rsid w:val="00C16116"/>
    <w:rsid w:val="00C16186"/>
    <w:rsid w:val="00C40842"/>
    <w:rsid w:val="00C559AE"/>
    <w:rsid w:val="00C84288"/>
    <w:rsid w:val="00CC5ACA"/>
    <w:rsid w:val="00CD3DDD"/>
    <w:rsid w:val="00CD5AEB"/>
    <w:rsid w:val="00D07119"/>
    <w:rsid w:val="00D47E88"/>
    <w:rsid w:val="00DB2871"/>
    <w:rsid w:val="00DC2D37"/>
    <w:rsid w:val="00E00CB1"/>
    <w:rsid w:val="00E20115"/>
    <w:rsid w:val="00E81C98"/>
    <w:rsid w:val="00E87832"/>
    <w:rsid w:val="00F20A91"/>
    <w:rsid w:val="00F34F3B"/>
    <w:rsid w:val="00F80197"/>
    <w:rsid w:val="02950A43"/>
    <w:rsid w:val="035736C7"/>
    <w:rsid w:val="05FB352C"/>
    <w:rsid w:val="062C73BA"/>
    <w:rsid w:val="0F415A30"/>
    <w:rsid w:val="1A1A2EA1"/>
    <w:rsid w:val="1BE3569F"/>
    <w:rsid w:val="20FE4F37"/>
    <w:rsid w:val="22666FCA"/>
    <w:rsid w:val="23957D52"/>
    <w:rsid w:val="265833FB"/>
    <w:rsid w:val="2A106D0B"/>
    <w:rsid w:val="2DCA2874"/>
    <w:rsid w:val="2F4A3E20"/>
    <w:rsid w:val="2FD7B8F8"/>
    <w:rsid w:val="34C72FF1"/>
    <w:rsid w:val="377A2E5E"/>
    <w:rsid w:val="378E2D18"/>
    <w:rsid w:val="385C0DBD"/>
    <w:rsid w:val="3A57702C"/>
    <w:rsid w:val="3CF07E96"/>
    <w:rsid w:val="447E3320"/>
    <w:rsid w:val="45CB5298"/>
    <w:rsid w:val="4B30475B"/>
    <w:rsid w:val="4CA33CB0"/>
    <w:rsid w:val="4CAD0BB5"/>
    <w:rsid w:val="4D14258D"/>
    <w:rsid w:val="57073EC0"/>
    <w:rsid w:val="59C6063C"/>
    <w:rsid w:val="5AEBC9FB"/>
    <w:rsid w:val="63E612D4"/>
    <w:rsid w:val="693053CC"/>
    <w:rsid w:val="6AB50BAB"/>
    <w:rsid w:val="6BF99ED0"/>
    <w:rsid w:val="6CA056C1"/>
    <w:rsid w:val="6D957ABF"/>
    <w:rsid w:val="6E054DDB"/>
    <w:rsid w:val="70CB269D"/>
    <w:rsid w:val="7312333B"/>
    <w:rsid w:val="75561D3A"/>
    <w:rsid w:val="75EFFD75"/>
    <w:rsid w:val="7952225A"/>
    <w:rsid w:val="7BE79252"/>
    <w:rsid w:val="7D174045"/>
    <w:rsid w:val="7D906DB7"/>
    <w:rsid w:val="7E674295"/>
    <w:rsid w:val="7FAF095D"/>
    <w:rsid w:val="9DDF446D"/>
    <w:rsid w:val="C7D7C4BF"/>
    <w:rsid w:val="F1CCC6CF"/>
    <w:rsid w:val="FFBD82C4"/>
    <w:rsid w:val="FFD9ED57"/>
    <w:rsid w:val="FFF797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styleId="4">
    <w:name w:val="Normal Indent"/>
    <w:basedOn w:val="1"/>
    <w:qFormat/>
    <w:uiPriority w:val="0"/>
    <w:pPr>
      <w:ind w:firstLine="420" w:firstLineChars="200"/>
    </w:pPr>
    <w:rPr>
      <w:rFonts w:ascii="Calibri" w:hAnsi="Calibri" w:eastAsia="仿宋"/>
      <w:sz w:val="32"/>
    </w:rPr>
  </w:style>
  <w:style w:type="paragraph" w:styleId="5">
    <w:name w:val="Body Text"/>
    <w:basedOn w:val="1"/>
    <w:semiHidden/>
    <w:qFormat/>
    <w:uiPriority w:val="0"/>
    <w:pPr>
      <w:jc w:val="center"/>
    </w:pPr>
    <w:rPr>
      <w:rFonts w:ascii="宋体"/>
      <w:b/>
      <w:bCs/>
      <w:sz w:val="44"/>
    </w:rPr>
  </w:style>
  <w:style w:type="paragraph" w:styleId="6">
    <w:name w:val="Date"/>
    <w:basedOn w:val="1"/>
    <w:next w:val="1"/>
    <w:semiHidden/>
    <w:qFormat/>
    <w:uiPriority w:val="0"/>
    <w:pPr>
      <w:ind w:left="100" w:leftChars="2500"/>
    </w:pPr>
    <w:rPr>
      <w:rFonts w:ascii="仿宋_GB2312" w:eastAsia="仿宋_GB2312"/>
      <w:sz w:val="32"/>
    </w:rPr>
  </w:style>
  <w:style w:type="paragraph" w:styleId="7">
    <w:name w:val="Balloon Text"/>
    <w:basedOn w:val="1"/>
    <w:link w:val="16"/>
    <w:semiHidden/>
    <w:unhideWhenUsed/>
    <w:qFormat/>
    <w:uiPriority w:val="99"/>
    <w:rPr>
      <w:sz w:val="18"/>
      <w:szCs w:val="18"/>
    </w:rPr>
  </w:style>
  <w:style w:type="paragraph" w:styleId="8">
    <w:name w:val="footer"/>
    <w:basedOn w:val="1"/>
    <w:link w:val="15"/>
    <w:semiHidden/>
    <w:unhideWhenUsed/>
    <w:qFormat/>
    <w:uiPriority w:val="99"/>
    <w:pPr>
      <w:tabs>
        <w:tab w:val="center" w:pos="4153"/>
        <w:tab w:val="right" w:pos="8306"/>
      </w:tabs>
      <w:snapToGrid w:val="0"/>
      <w:jc w:val="left"/>
    </w:pPr>
    <w:rPr>
      <w:sz w:val="18"/>
      <w:szCs w:val="18"/>
    </w:rPr>
  </w:style>
  <w:style w:type="paragraph" w:styleId="9">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page number"/>
    <w:basedOn w:val="12"/>
    <w:qFormat/>
    <w:uiPriority w:val="0"/>
  </w:style>
  <w:style w:type="character" w:customStyle="1" w:styleId="14">
    <w:name w:val="页眉 Char"/>
    <w:basedOn w:val="12"/>
    <w:link w:val="9"/>
    <w:semiHidden/>
    <w:qFormat/>
    <w:uiPriority w:val="99"/>
    <w:rPr>
      <w:kern w:val="2"/>
      <w:sz w:val="18"/>
      <w:szCs w:val="18"/>
    </w:rPr>
  </w:style>
  <w:style w:type="character" w:customStyle="1" w:styleId="15">
    <w:name w:val="页脚 Char"/>
    <w:basedOn w:val="12"/>
    <w:link w:val="8"/>
    <w:semiHidden/>
    <w:qFormat/>
    <w:uiPriority w:val="99"/>
    <w:rPr>
      <w:kern w:val="2"/>
      <w:sz w:val="18"/>
      <w:szCs w:val="18"/>
    </w:rPr>
  </w:style>
  <w:style w:type="character" w:customStyle="1" w:styleId="16">
    <w:name w:val="批注框文本 Char"/>
    <w:basedOn w:val="12"/>
    <w:link w:val="7"/>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4</Pages>
  <Words>1719</Words>
  <Characters>1765</Characters>
  <Lines>12</Lines>
  <Paragraphs>3</Paragraphs>
  <TotalTime>0</TotalTime>
  <ScaleCrop>false</ScaleCrop>
  <LinksUpToDate>false</LinksUpToDate>
  <CharactersWithSpaces>1769</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2023-03-15T23:33:00Z</dcterms:created>
  <dc:creator>wjc</dc:creator>
  <cp:lastModifiedBy>kylin</cp:lastModifiedBy>
  <dcterms:modified xsi:type="dcterms:W3CDTF">2023-08-03T15:27:02Z</dcterms:modified>
  <dc:title>各区县委办局办公室：</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0AB5787E332746DE8DB929BD49DA7F22</vt:lpwstr>
  </property>
</Properties>
</file>