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37" w:type="pct"/>
        <w:tblInd w:w="-34" w:type="dxa"/>
        <w:tblLayout w:type="autofit"/>
        <w:tblCellMar>
          <w:top w:w="0" w:type="dxa"/>
          <w:left w:w="108" w:type="dxa"/>
          <w:bottom w:w="0" w:type="dxa"/>
          <w:right w:w="108" w:type="dxa"/>
        </w:tblCellMar>
      </w:tblPr>
      <w:tblGrid>
        <w:gridCol w:w="9356"/>
      </w:tblGrid>
      <w:tr>
        <w:tblPrEx>
          <w:tblCellMar>
            <w:top w:w="0" w:type="dxa"/>
            <w:left w:w="108" w:type="dxa"/>
            <w:bottom w:w="0" w:type="dxa"/>
            <w:right w:w="108" w:type="dxa"/>
          </w:tblCellMar>
        </w:tblPrEx>
        <w:tc>
          <w:tcPr>
            <w:tcW w:w="5000" w:type="pct"/>
            <w:tcBorders>
              <w:tl2br w:val="nil"/>
              <w:tr2bl w:val="nil"/>
            </w:tcBorders>
            <w:vAlign w:val="center"/>
          </w:tcPr>
          <w:p>
            <w:pPr>
              <w:jc w:val="center"/>
              <w:rPr>
                <w:b/>
                <w:bCs/>
                <w:sz w:val="44"/>
              </w:rPr>
            </w:pPr>
            <w:bookmarkStart w:id="0" w:name="bt"/>
            <w:r>
              <w:rPr>
                <w:b/>
                <w:bCs/>
                <w:sz w:val="44"/>
              </w:rPr>
              <w:t>对市政协第十五届一次会议</w:t>
            </w:r>
            <w:r>
              <w:rPr>
                <w:b/>
                <w:bCs/>
                <w:sz w:val="44"/>
              </w:rPr>
              <w:br w:type="textWrapping"/>
            </w:r>
            <w:r>
              <w:rPr>
                <w:b/>
                <w:bCs/>
                <w:sz w:val="44"/>
              </w:rPr>
              <w:t>第0592号提案的办理答复</w:t>
            </w:r>
            <w:bookmarkEnd w:id="0"/>
          </w:p>
        </w:tc>
      </w:tr>
      <w:tr>
        <w:tblPrEx>
          <w:tblCellMar>
            <w:top w:w="0" w:type="dxa"/>
            <w:left w:w="108" w:type="dxa"/>
            <w:bottom w:w="0" w:type="dxa"/>
            <w:right w:w="108" w:type="dxa"/>
          </w:tblCellMar>
        </w:tblPrEx>
        <w:tc>
          <w:tcPr>
            <w:tcW w:w="5000" w:type="pct"/>
            <w:tcBorders>
              <w:tl2br w:val="nil"/>
              <w:tr2bl w:val="nil"/>
            </w:tcBorders>
          </w:tcPr>
          <w:p>
            <w:pPr>
              <w:spacing w:line="560" w:lineRule="exact"/>
              <w:ind w:right="105" w:rightChars="50"/>
              <w:rPr>
                <w:rFonts w:eastAsia="仿宋_GB2312"/>
                <w:sz w:val="32"/>
              </w:rPr>
            </w:pPr>
            <w:bookmarkStart w:id="1" w:name="chenghu"/>
            <w:r>
              <w:rPr>
                <w:rFonts w:eastAsia="仿宋_GB2312"/>
                <w:sz w:val="32"/>
              </w:rPr>
              <w:t>曹景委员</w:t>
            </w:r>
            <w:bookmarkEnd w:id="1"/>
            <w:r>
              <w:rPr>
                <w:rFonts w:eastAsia="仿宋_GB2312"/>
                <w:sz w:val="32"/>
              </w:rPr>
              <w:t>：</w:t>
            </w:r>
          </w:p>
        </w:tc>
      </w:tr>
      <w:tr>
        <w:tblPrEx>
          <w:tblCellMar>
            <w:top w:w="0" w:type="dxa"/>
            <w:left w:w="108" w:type="dxa"/>
            <w:bottom w:w="0" w:type="dxa"/>
            <w:right w:w="108" w:type="dxa"/>
          </w:tblCellMar>
        </w:tblPrEx>
        <w:tc>
          <w:tcPr>
            <w:tcW w:w="5000" w:type="pct"/>
            <w:tcBorders>
              <w:tl2br w:val="nil"/>
              <w:tr2bl w:val="nil"/>
            </w:tcBorders>
          </w:tcPr>
          <w:p>
            <w:pPr>
              <w:spacing w:line="560" w:lineRule="exact"/>
              <w:rPr>
                <w:rFonts w:eastAsia="仿宋_GB2312"/>
                <w:sz w:val="32"/>
              </w:rPr>
            </w:pPr>
            <w:r>
              <w:rPr>
                <w:rFonts w:eastAsia="仿宋_GB2312"/>
                <w:sz w:val="32"/>
                <w:szCs w:val="18"/>
              </w:rPr>
              <w:t>　　</w:t>
            </w:r>
            <w:bookmarkStart w:id="2" w:name="shuo"/>
            <w:r>
              <w:rPr>
                <w:rFonts w:eastAsia="仿宋_GB2312"/>
                <w:sz w:val="32"/>
                <w:szCs w:val="18"/>
              </w:rPr>
              <w:t>您提出的关于建设网联车轨道交通接驳示范线路的提案，经会同东丽区、北辰区、津南区、西青区、市公安局、市工业和信息化局研究答复如下</w:t>
            </w:r>
            <w:bookmarkEnd w:id="2"/>
            <w:r>
              <w:rPr>
                <w:rFonts w:eastAsia="仿宋_GB2312"/>
                <w:sz w:val="32"/>
                <w:szCs w:val="18"/>
              </w:rPr>
              <w:t>：</w:t>
            </w:r>
          </w:p>
        </w:tc>
      </w:tr>
      <w:tr>
        <w:tblPrEx>
          <w:tblCellMar>
            <w:top w:w="0" w:type="dxa"/>
            <w:left w:w="108" w:type="dxa"/>
            <w:bottom w:w="0" w:type="dxa"/>
            <w:right w:w="108" w:type="dxa"/>
          </w:tblCellMar>
        </w:tblPrEx>
        <w:trPr>
          <w:trHeight w:val="1562" w:hRule="atLeast"/>
        </w:trPr>
        <w:tc>
          <w:tcPr>
            <w:tcW w:w="5000" w:type="pct"/>
            <w:tcBorders>
              <w:tl2br w:val="nil"/>
              <w:tr2bl w:val="nil"/>
            </w:tcBorders>
          </w:tcPr>
          <w:p>
            <w:pPr>
              <w:spacing w:line="560" w:lineRule="exact"/>
              <w:ind w:right="105" w:rightChars="50" w:firstLine="640" w:firstLineChars="200"/>
              <w:rPr>
                <w:rFonts w:eastAsia="仿宋_GB2312"/>
                <w:sz w:val="32"/>
              </w:rPr>
            </w:pPr>
            <w:r>
              <w:rPr>
                <w:rFonts w:eastAsia="仿宋_GB2312"/>
                <w:sz w:val="32"/>
              </w:rPr>
              <w:t>近年来，我市</w:t>
            </w:r>
            <w:r>
              <w:rPr>
                <w:rFonts w:hint="eastAsia" w:eastAsia="仿宋_GB2312"/>
                <w:sz w:val="32"/>
              </w:rPr>
              <w:t>以各区</w:t>
            </w:r>
            <w:r>
              <w:rPr>
                <w:rFonts w:eastAsia="仿宋_GB2312"/>
                <w:sz w:val="32"/>
              </w:rPr>
              <w:t>产业布局优势为根基，着眼于高质量经济发展，高度关注智能网联汽车应用场景建设。截</w:t>
            </w:r>
            <w:r>
              <w:rPr>
                <w:rFonts w:hint="eastAsia" w:eastAsia="仿宋_GB2312"/>
                <w:sz w:val="32"/>
              </w:rPr>
              <w:t>至</w:t>
            </w:r>
            <w:r>
              <w:rPr>
                <w:rFonts w:eastAsia="仿宋_GB2312"/>
                <w:sz w:val="32"/>
              </w:rPr>
              <w:t>目前，西青区、津南区等区域累计开放测试道路70.55公里，对建设智能网联汽车轨道交通接驳示范线路</w:t>
            </w:r>
            <w:r>
              <w:rPr>
                <w:rFonts w:hint="eastAsia" w:eastAsia="仿宋_GB2312"/>
                <w:sz w:val="32"/>
              </w:rPr>
              <w:t>能够提供</w:t>
            </w:r>
            <w:r>
              <w:rPr>
                <w:rFonts w:eastAsia="仿宋_GB2312"/>
                <w:sz w:val="32"/>
              </w:rPr>
              <w:t>良好的道路条件。</w:t>
            </w:r>
          </w:p>
          <w:p>
            <w:pPr>
              <w:spacing w:line="560" w:lineRule="exact"/>
              <w:ind w:right="105" w:rightChars="50" w:firstLine="640" w:firstLineChars="200"/>
              <w:rPr>
                <w:rFonts w:eastAsia="仿宋_GB2312"/>
                <w:sz w:val="32"/>
              </w:rPr>
            </w:pPr>
            <w:r>
              <w:rPr>
                <w:rFonts w:eastAsia="仿宋_GB2312"/>
                <w:sz w:val="32"/>
              </w:rPr>
              <w:t>西青区依托国家级车联网先导区建设，对区域范围内408个路口进行了智能化改造升级，包含南站科技商务区60余个集中部署全息感知车路协同网络环境。实现了设备、平台间互联互通。配合运营中心平台可支持路侧、车载设备的百万级接入、万级并发，向政府、企业、个人提供了不同场景的出行服务。西青区表示，2023年将在车路协同环境较为成熟的南站科技商务区开设运营自动驾驶公交示范线路和自动驾驶出租车示范线路，聚焦地面路网交通，具备探索基于</w:t>
            </w:r>
            <w:r>
              <w:rPr>
                <w:rFonts w:eastAsia="仿宋_GB2312"/>
                <w:sz w:val="32"/>
                <w:szCs w:val="32"/>
              </w:rPr>
              <w:t>地面交通混合运营</w:t>
            </w:r>
            <w:r>
              <w:rPr>
                <w:rFonts w:eastAsia="仿宋_GB2312"/>
                <w:sz w:val="32"/>
              </w:rPr>
              <w:t>的网联车交通接驳解决方案。</w:t>
            </w:r>
          </w:p>
          <w:p>
            <w:pPr>
              <w:spacing w:line="560" w:lineRule="exact"/>
              <w:ind w:right="105" w:rightChars="50" w:firstLine="640" w:firstLineChars="200"/>
              <w:rPr>
                <w:rFonts w:eastAsia="仿宋_GB2312"/>
                <w:sz w:val="32"/>
                <w:szCs w:val="32"/>
              </w:rPr>
            </w:pPr>
            <w:r>
              <w:rPr>
                <w:rFonts w:eastAsia="仿宋_GB2312"/>
                <w:sz w:val="32"/>
              </w:rPr>
              <w:t>津南区组织海河教育园与天津大学合作共建了“智能公交开发与应用示范项目”，开放了东至南惠路、西至同砚路、南至雅观路、北至雅深路区域内全长约27公里路段，改造完成20个基于路口感知、智能灯控、雷达探测等路侧设施的智慧路口，建设了10个具备车辆位置监测、站点人流监控、到站时间预测等服务功能的智慧站点，构建了“5G+车路协同”测试示范场景。2022年10月31日，天津大学</w:t>
            </w:r>
            <w:r>
              <w:rPr>
                <w:rFonts w:eastAsia="仿宋_GB2312"/>
                <w:sz w:val="32"/>
                <w:szCs w:val="32"/>
              </w:rPr>
              <w:t>的3辆智能网联客车已成功申领到测试牌照。津南区表示，下一步将持续推进合作共建项目，用好开放测试道路建设成果，为探索</w:t>
            </w:r>
            <w:r>
              <w:rPr>
                <w:rFonts w:eastAsia="仿宋_GB2312"/>
                <w:sz w:val="32"/>
                <w:szCs w:val="18"/>
              </w:rPr>
              <w:t>网联车轨道交通接驳示范线路</w:t>
            </w:r>
            <w:r>
              <w:rPr>
                <w:rFonts w:eastAsia="仿宋_GB2312"/>
                <w:sz w:val="32"/>
                <w:szCs w:val="32"/>
              </w:rPr>
              <w:t>奠定了良好的技术基础。</w:t>
            </w:r>
          </w:p>
          <w:p>
            <w:pPr>
              <w:spacing w:line="560" w:lineRule="exact"/>
              <w:ind w:right="105" w:rightChars="50" w:firstLine="640" w:firstLineChars="200"/>
              <w:rPr>
                <w:rFonts w:eastAsia="仿宋_GB2312"/>
                <w:sz w:val="32"/>
                <w:szCs w:val="32"/>
              </w:rPr>
            </w:pPr>
            <w:r>
              <w:rPr>
                <w:rFonts w:eastAsia="仿宋_GB2312"/>
                <w:sz w:val="32"/>
                <w:szCs w:val="32"/>
              </w:rPr>
              <w:t>东丽区表示，结合提案内容组织区运管局会同各相关部门对进一步做好智能网联汽车相关应用进行了认真调研和论证，积极推进智能网联汽车体系建设与应用在东丽区落地实施。</w:t>
            </w:r>
          </w:p>
          <w:p>
            <w:pPr>
              <w:spacing w:line="560" w:lineRule="exact"/>
              <w:ind w:right="105" w:rightChars="50" w:firstLine="640" w:firstLineChars="200"/>
              <w:rPr>
                <w:rFonts w:eastAsia="仿宋_GB2312"/>
                <w:sz w:val="32"/>
              </w:rPr>
            </w:pPr>
            <w:r>
              <w:rPr>
                <w:rFonts w:eastAsia="仿宋_GB2312"/>
                <w:sz w:val="32"/>
                <w:szCs w:val="32"/>
              </w:rPr>
              <w:t>按照“鼓励创新、保证安全、统筹布局、有序推进”的原则，我委将会同市工信局、市公安局依据《天津市智能网联汽车道路测试与示范应用实施细则（试行）》相关规定，</w:t>
            </w:r>
            <w:r>
              <w:rPr>
                <w:rFonts w:hint="eastAsia" w:eastAsia="仿宋_GB2312"/>
                <w:sz w:val="32"/>
                <w:szCs w:val="32"/>
              </w:rPr>
              <w:t>积极推进</w:t>
            </w:r>
            <w:r>
              <w:rPr>
                <w:rFonts w:eastAsia="仿宋_GB2312"/>
                <w:sz w:val="32"/>
                <w:szCs w:val="32"/>
              </w:rPr>
              <w:t>智能网联汽车测试道路发布、道路测试与示范应用安全性自我声明联合确认工作，全力服务好各区组织开展智能网联汽车道路测试与示范应用相关工作，支持网联车轨道交通接驳示范线路建设。</w:t>
            </w:r>
          </w:p>
        </w:tc>
      </w:tr>
      <w:tr>
        <w:tblPrEx>
          <w:tblCellMar>
            <w:top w:w="0" w:type="dxa"/>
            <w:left w:w="108" w:type="dxa"/>
            <w:bottom w:w="0" w:type="dxa"/>
            <w:right w:w="108" w:type="dxa"/>
          </w:tblCellMar>
        </w:tblPrEx>
        <w:tc>
          <w:tcPr>
            <w:tcW w:w="5000" w:type="pct"/>
            <w:tcBorders>
              <w:tl2br w:val="nil"/>
              <w:tr2bl w:val="nil"/>
            </w:tcBorders>
          </w:tcPr>
          <w:p>
            <w:pPr>
              <w:spacing w:line="480" w:lineRule="exact"/>
              <w:ind w:right="105" w:rightChars="50"/>
              <w:rPr>
                <w:rFonts w:eastAsia="仿宋_GB2312"/>
                <w:sz w:val="32"/>
              </w:rPr>
            </w:pPr>
          </w:p>
          <w:p>
            <w:pPr>
              <w:spacing w:line="480" w:lineRule="exact"/>
              <w:ind w:right="105" w:rightChars="50"/>
              <w:jc w:val="right"/>
              <w:rPr>
                <w:rFonts w:eastAsia="仿宋_GB2312"/>
                <w:sz w:val="32"/>
              </w:rPr>
            </w:pPr>
            <w:bookmarkStart w:id="3" w:name="now"/>
            <w:r>
              <w:rPr>
                <w:rFonts w:eastAsia="仿宋_GB2312"/>
                <w:sz w:val="32"/>
              </w:rPr>
              <w:t>2023年4月</w:t>
            </w:r>
            <w:r>
              <w:rPr>
                <w:rFonts w:hint="default" w:eastAsia="仿宋_GB2312"/>
                <w:sz w:val="32"/>
                <w:lang w:val="en"/>
              </w:rPr>
              <w:t>12</w:t>
            </w:r>
            <w:r>
              <w:rPr>
                <w:rFonts w:eastAsia="仿宋_GB2312"/>
                <w:sz w:val="32"/>
              </w:rPr>
              <w:t>日</w:t>
            </w:r>
            <w:bookmarkEnd w:id="3"/>
            <w:r>
              <w:rPr>
                <w:rFonts w:eastAsia="仿宋_GB2312"/>
                <w:sz w:val="32"/>
              </w:rPr>
              <w:t xml:space="preserve">   </w:t>
            </w:r>
            <w:bookmarkStart w:id="4" w:name="_GoBack"/>
            <w:bookmarkEnd w:id="4"/>
          </w:p>
        </w:tc>
      </w:tr>
    </w:tbl>
    <w:p>
      <w:pPr>
        <w:spacing w:line="20" w:lineRule="exact"/>
        <w:ind w:right="1151" w:rightChars="548"/>
      </w:pPr>
    </w:p>
    <w:sectPr>
      <w:headerReference r:id="rId3" w:type="default"/>
      <w:footerReference r:id="rId4" w:type="default"/>
      <w:footerReference r:id="rId5" w:type="even"/>
      <w:pgSz w:w="11906" w:h="16838"/>
      <w:pgMar w:top="2098" w:right="1361"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3</w:t>
    </w:r>
    <w:r>
      <w:rPr>
        <w:rStyle w:val="1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72A27"/>
    <w:rsid w:val="0018011C"/>
    <w:rsid w:val="00181F02"/>
    <w:rsid w:val="001A7225"/>
    <w:rsid w:val="001F61E3"/>
    <w:rsid w:val="002371A3"/>
    <w:rsid w:val="00261F6E"/>
    <w:rsid w:val="00272F04"/>
    <w:rsid w:val="00272F5E"/>
    <w:rsid w:val="00296F01"/>
    <w:rsid w:val="002A35BF"/>
    <w:rsid w:val="002B29B1"/>
    <w:rsid w:val="002C1912"/>
    <w:rsid w:val="002F0464"/>
    <w:rsid w:val="002F2BA0"/>
    <w:rsid w:val="00307EB1"/>
    <w:rsid w:val="003308ED"/>
    <w:rsid w:val="00354A16"/>
    <w:rsid w:val="00372068"/>
    <w:rsid w:val="00375D6E"/>
    <w:rsid w:val="00382172"/>
    <w:rsid w:val="004277E8"/>
    <w:rsid w:val="00437E22"/>
    <w:rsid w:val="00460BAF"/>
    <w:rsid w:val="00477475"/>
    <w:rsid w:val="004C2F93"/>
    <w:rsid w:val="0052525D"/>
    <w:rsid w:val="00575302"/>
    <w:rsid w:val="0059759C"/>
    <w:rsid w:val="005B7C6A"/>
    <w:rsid w:val="005D25F2"/>
    <w:rsid w:val="005E0C68"/>
    <w:rsid w:val="005E7285"/>
    <w:rsid w:val="005F2062"/>
    <w:rsid w:val="005F5E66"/>
    <w:rsid w:val="00663555"/>
    <w:rsid w:val="00672428"/>
    <w:rsid w:val="007315DA"/>
    <w:rsid w:val="007616B6"/>
    <w:rsid w:val="007746FD"/>
    <w:rsid w:val="007B2223"/>
    <w:rsid w:val="007D7D3A"/>
    <w:rsid w:val="007E1B8B"/>
    <w:rsid w:val="008155F9"/>
    <w:rsid w:val="00821E10"/>
    <w:rsid w:val="008222BF"/>
    <w:rsid w:val="00843262"/>
    <w:rsid w:val="00883F64"/>
    <w:rsid w:val="0088401B"/>
    <w:rsid w:val="00895F09"/>
    <w:rsid w:val="00917F65"/>
    <w:rsid w:val="00930E75"/>
    <w:rsid w:val="00951F93"/>
    <w:rsid w:val="00953B90"/>
    <w:rsid w:val="00982E66"/>
    <w:rsid w:val="009A0C11"/>
    <w:rsid w:val="009A0CB0"/>
    <w:rsid w:val="009A5A86"/>
    <w:rsid w:val="009B4CA3"/>
    <w:rsid w:val="009F568A"/>
    <w:rsid w:val="00A01DE8"/>
    <w:rsid w:val="00A03B4F"/>
    <w:rsid w:val="00A527F8"/>
    <w:rsid w:val="00AE0062"/>
    <w:rsid w:val="00B21A65"/>
    <w:rsid w:val="00B32F4D"/>
    <w:rsid w:val="00B67BF0"/>
    <w:rsid w:val="00B96B7B"/>
    <w:rsid w:val="00C16116"/>
    <w:rsid w:val="00C23796"/>
    <w:rsid w:val="00C40842"/>
    <w:rsid w:val="00C559AE"/>
    <w:rsid w:val="00C81F12"/>
    <w:rsid w:val="00CC5ACA"/>
    <w:rsid w:val="00CD3DDD"/>
    <w:rsid w:val="00CD5AEB"/>
    <w:rsid w:val="00D07119"/>
    <w:rsid w:val="00D47E88"/>
    <w:rsid w:val="00DB0D17"/>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57073EC0"/>
    <w:rsid w:val="59C6063C"/>
    <w:rsid w:val="63E612D4"/>
    <w:rsid w:val="693053CC"/>
    <w:rsid w:val="6AB50BAB"/>
    <w:rsid w:val="6CA056C1"/>
    <w:rsid w:val="6D957ABF"/>
    <w:rsid w:val="6EFF8EB9"/>
    <w:rsid w:val="6FB743B2"/>
    <w:rsid w:val="7312333B"/>
    <w:rsid w:val="75561D3A"/>
    <w:rsid w:val="7952225A"/>
    <w:rsid w:val="7D174045"/>
    <w:rsid w:val="7D906DB7"/>
    <w:rsid w:val="7E674295"/>
    <w:rsid w:val="BF7F3F13"/>
    <w:rsid w:val="F7DF6F62"/>
    <w:rsid w:val="FFEEA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Balloon Text"/>
    <w:basedOn w:val="1"/>
    <w:link w:val="13"/>
    <w:semiHidden/>
    <w:unhideWhenUsed/>
    <w:qFormat/>
    <w:uiPriority w:val="99"/>
    <w:rPr>
      <w:sz w:val="18"/>
      <w:szCs w:val="18"/>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眉 Char"/>
    <w:basedOn w:val="9"/>
    <w:link w:val="6"/>
    <w:semiHidden/>
    <w:qFormat/>
    <w:uiPriority w:val="99"/>
    <w:rPr>
      <w:kern w:val="2"/>
      <w:sz w:val="18"/>
      <w:szCs w:val="18"/>
    </w:rPr>
  </w:style>
  <w:style w:type="character" w:customStyle="1" w:styleId="12">
    <w:name w:val="页脚 Char"/>
    <w:basedOn w:val="9"/>
    <w:link w:val="5"/>
    <w:semiHidden/>
    <w:qFormat/>
    <w:uiPriority w:val="99"/>
    <w:rPr>
      <w:kern w:val="2"/>
      <w:sz w:val="18"/>
      <w:szCs w:val="18"/>
    </w:rPr>
  </w:style>
  <w:style w:type="character" w:customStyle="1" w:styleId="13">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spice</Company>
  <Pages>3</Pages>
  <Words>156</Words>
  <Characters>894</Characters>
  <Lines>7</Lines>
  <Paragraphs>2</Paragraphs>
  <TotalTime>100</TotalTime>
  <ScaleCrop>false</ScaleCrop>
  <LinksUpToDate>false</LinksUpToDate>
  <CharactersWithSpaces>1048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2021-04-07T11:49:00Z</dcterms:created>
  <dc:creator>wjc</dc:creator>
  <cp:lastModifiedBy>kylin</cp:lastModifiedBy>
  <dcterms:modified xsi:type="dcterms:W3CDTF">2023-08-03T15:29:31Z</dcterms:modified>
  <dc:title>各区县委办局办公室：</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