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eastAsia="宋体"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r>
              <w:rPr>
                <w:rFonts w:hint="default" w:ascii="Times New Roman" w:hAnsi="Times New Roman" w:cs="Times New Roman"/>
                <w:b/>
                <w:bCs/>
                <w:sz w:val="44"/>
                <w:lang w:val="en-US" w:eastAsia="zh-CN"/>
              </w:rPr>
              <w:br w:type="textWrapping"/>
            </w:r>
            <w:r>
              <w:rPr>
                <w:rFonts w:hint="default" w:ascii="Times New Roman" w:hAnsi="Times New Roman" w:cs="Times New Roman"/>
                <w:b/>
                <w:bCs/>
                <w:sz w:val="44"/>
                <w:lang w:val="en-US" w:eastAsia="zh-CN"/>
              </w:rPr>
              <w:t>第0749号提案的办理答复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lang w:val="en-US" w:eastAsia="zh-CN"/>
              </w:rPr>
              <w:t>卫红梅委员</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您提出的关于促进我市公路货运减污降碳技术创新的提案，经会同市工业和信息化局、市科技局、市人力社保局、市发展改革委、市生态环境局、市金融局研究答复如下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default" w:ascii="Times New Roman" w:hAnsi="Times New Roman" w:eastAsia="黑体" w:cs="Times New Roman"/>
                <w:sz w:val="32"/>
                <w:lang w:val="en" w:eastAsia="zh-CN"/>
              </w:rPr>
            </w:pPr>
            <w:r>
              <w:rPr>
                <w:rFonts w:hint="default" w:ascii="Times New Roman" w:hAnsi="Times New Roman" w:eastAsia="黑体" w:cs="Times New Roman"/>
                <w:sz w:val="32"/>
                <w:lang w:val="en" w:eastAsia="zh-CN"/>
              </w:rPr>
              <w:t>一、我市推进碳达峰碳中和工作情况</w:t>
            </w:r>
          </w:p>
          <w:p>
            <w:pPr>
              <w:spacing w:line="560" w:lineRule="exact"/>
              <w:ind w:left="0" w:leftChars="0" w:right="105" w:rightChars="50" w:firstLine="640" w:firstLineChars="200"/>
              <w:rPr>
                <w:rFonts w:hint="default" w:ascii="Times New Roman" w:hAnsi="Times New Roman" w:eastAsia="方正楷体_GBK" w:cs="Times New Roman"/>
                <w:sz w:val="32"/>
                <w:lang w:val="en" w:eastAsia="zh-CN"/>
              </w:rPr>
            </w:pPr>
            <w:r>
              <w:rPr>
                <w:rFonts w:hint="default" w:ascii="Times New Roman" w:hAnsi="Times New Roman" w:eastAsia="方正楷体_GBK" w:cs="Times New Roman"/>
                <w:sz w:val="32"/>
                <w:lang w:val="en" w:eastAsia="zh-CN"/>
              </w:rPr>
              <w:t>（一）总体概况</w:t>
            </w:r>
          </w:p>
          <w:p>
            <w:pPr>
              <w:spacing w:line="560" w:lineRule="exact"/>
              <w:ind w:left="0" w:leftChars="0" w:right="105" w:rightChars="5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lang w:val="en" w:eastAsia="zh-CN"/>
              </w:rPr>
              <w:t>我市认真贯彻落实国家双碳发展战略，由市发展改革委牵头推动全市双碳工作，</w:t>
            </w:r>
            <w:r>
              <w:rPr>
                <w:rFonts w:hint="default" w:ascii="Times New Roman" w:hAnsi="Times New Roman" w:eastAsia="仿宋_GB2312" w:cs="Times New Roman"/>
                <w:sz w:val="32"/>
                <w:szCs w:val="32"/>
                <w:lang w:val="en-US" w:eastAsia="zh-CN"/>
              </w:rPr>
              <w:t>2022</w:t>
            </w:r>
            <w:r>
              <w:rPr>
                <w:rStyle w:val="12"/>
                <w:rFonts w:hint="default" w:ascii="Times New Roman" w:hAnsi="Times New Roman" w:eastAsia="楷体_GB2312" w:cs="Times New Roman"/>
                <w:b w:val="0"/>
                <w:bCs w:val="0"/>
                <w:lang w:val="en-US" w:eastAsia="zh-CN"/>
              </w:rPr>
              <w:t>年8月</w:t>
            </w:r>
            <w:r>
              <w:rPr>
                <w:rFonts w:hint="default" w:ascii="Times New Roman" w:hAnsi="Times New Roman" w:eastAsia="仿宋_GB2312" w:cs="Times New Roman"/>
                <w:sz w:val="32"/>
                <w:szCs w:val="32"/>
                <w:lang w:val="en-US" w:eastAsia="zh-CN"/>
              </w:rPr>
              <w:t>印发了《天津市碳达峰实施方案》</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lang w:val="zh-CN" w:eastAsia="zh-CN"/>
              </w:rPr>
              <w:t>将“交通运输绿色低碳行动”和“绿色低碳科技创新行动”列为我市碳达峰十大行动。在交通运输领域，提出了</w:t>
            </w:r>
            <w:r>
              <w:rPr>
                <w:rFonts w:hint="default" w:ascii="Times New Roman" w:hAnsi="Times New Roman" w:eastAsia="仿宋_GB2312" w:cs="Times New Roman"/>
                <w:sz w:val="32"/>
                <w:szCs w:val="32"/>
              </w:rPr>
              <w:t>加快建设综合立体交通网，大力发展多式联运，建设绿色交通基础设施，推广节能低碳型交通工具，引导低碳出行，整合运输资源，提高运输效率</w:t>
            </w:r>
            <w:r>
              <w:rPr>
                <w:rFonts w:hint="default" w:ascii="Times New Roman" w:hAnsi="Times New Roman" w:eastAsia="仿宋_GB2312" w:cs="Times New Roman"/>
                <w:sz w:val="32"/>
                <w:szCs w:val="32"/>
                <w:lang w:eastAsia="zh-CN"/>
              </w:rPr>
              <w:t>等重点任务；在科技创新领域，</w:t>
            </w:r>
            <w:r>
              <w:rPr>
                <w:rFonts w:hint="default" w:ascii="Times New Roman" w:hAnsi="Times New Roman" w:eastAsia="仿宋_GB2312" w:cs="Times New Roman"/>
                <w:sz w:val="32"/>
                <w:szCs w:val="32"/>
                <w:lang w:val="zh-CN" w:eastAsia="zh-CN"/>
              </w:rPr>
              <w:t>提出了</w:t>
            </w:r>
            <w:r>
              <w:rPr>
                <w:rFonts w:hint="default" w:ascii="Times New Roman" w:hAnsi="Times New Roman" w:eastAsia="仿宋_GB2312" w:cs="Times New Roman"/>
                <w:sz w:val="32"/>
                <w:szCs w:val="32"/>
              </w:rPr>
              <w:t>完善创新体制机制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加强创新能力建设和人才培养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强化共性关键技术研究</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加快先进适用技术研发和推广应用</w:t>
            </w:r>
            <w:r>
              <w:rPr>
                <w:rFonts w:hint="default" w:ascii="Times New Roman" w:hAnsi="Times New Roman" w:eastAsia="仿宋_GB2312" w:cs="Times New Roman"/>
                <w:sz w:val="32"/>
                <w:szCs w:val="32"/>
                <w:lang w:val="zh-CN" w:eastAsia="zh-CN"/>
              </w:rPr>
              <w:t>等</w:t>
            </w:r>
            <w:r>
              <w:rPr>
                <w:rFonts w:hint="default" w:ascii="Times New Roman" w:hAnsi="Times New Roman" w:eastAsia="仿宋_GB2312" w:cs="Times New Roman"/>
                <w:sz w:val="32"/>
                <w:szCs w:val="32"/>
                <w:lang w:val="zh-CN"/>
              </w:rPr>
              <w:t>四项重点任务，以“双碳”目标为引领，</w:t>
            </w:r>
            <w:r>
              <w:rPr>
                <w:rFonts w:hint="default" w:ascii="Times New Roman" w:hAnsi="Times New Roman" w:eastAsia="仿宋_GB2312" w:cs="Times New Roman"/>
                <w:sz w:val="32"/>
                <w:szCs w:val="32"/>
              </w:rPr>
              <w:t>推动绿色低碳科技革命。</w:t>
            </w:r>
          </w:p>
          <w:p>
            <w:pPr>
              <w:numPr>
                <w:ilvl w:val="0"/>
                <w:numId w:val="1"/>
              </w:numPr>
              <w:spacing w:line="560" w:lineRule="exact"/>
              <w:ind w:left="0" w:leftChars="0" w:right="105" w:rightChars="50" w:firstLine="640" w:firstLineChars="200"/>
              <w:rPr>
                <w:rFonts w:hint="default" w:ascii="Times New Roman" w:hAnsi="Times New Roman" w:eastAsia="方正楷体_GBK" w:cs="Times New Roman"/>
                <w:sz w:val="32"/>
                <w:szCs w:val="32"/>
                <w:lang w:val="en" w:eastAsia="zh-CN"/>
              </w:rPr>
            </w:pPr>
            <w:r>
              <w:rPr>
                <w:rFonts w:hint="default" w:ascii="Times New Roman" w:hAnsi="Times New Roman" w:eastAsia="方正楷体_GBK" w:cs="Times New Roman"/>
                <w:sz w:val="32"/>
                <w:szCs w:val="32"/>
                <w:lang w:val="en" w:eastAsia="zh-CN"/>
              </w:rPr>
              <w:t>交通运输领域推动情况</w:t>
            </w:r>
          </w:p>
          <w:p>
            <w:pPr>
              <w:numPr>
                <w:ilvl w:val="0"/>
                <w:numId w:val="0"/>
              </w:numPr>
              <w:spacing w:line="560" w:lineRule="exact"/>
              <w:ind w:right="105" w:rightChars="50" w:firstLine="64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sz w:val="32"/>
                <w:szCs w:val="32"/>
                <w:lang w:val="en-US" w:eastAsia="zh-CN"/>
              </w:rPr>
              <w:t>市交通运输委认真落实全市污染防治攻坚战和双碳工作部署，出台《天津市交通运输领域绿色低碳发展实施方案》，全力推动“公转铁”“散改集”，公路领域减污降碳成效显著。</w:t>
            </w:r>
            <w:r>
              <w:rPr>
                <w:rFonts w:hint="default" w:ascii="Times New Roman" w:hAnsi="Times New Roman" w:eastAsia="仿宋_GB2312" w:cs="Times New Roman"/>
                <w:sz w:val="32"/>
                <w:szCs w:val="32"/>
              </w:rPr>
              <w:t>我市铁路货运占比由2017年的16.48%稳步提升至2021年的20.41%。2022年1—10月份，我市铁路货运占比进一步提升至21.70%，高于全国平均水平10个百分点以上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全市12家大宗货物年运量150万吨以上大型工矿企业已有11家接入铁路专用线，其中8家主力电厂电煤100%为铁路运输进厂，持续推进铁矿石“公转铁”铁路运输比例提升并稳定在65%以上，达到全国领先水平。</w:t>
            </w:r>
            <w:r>
              <w:rPr>
                <w:rFonts w:hint="default" w:ascii="Times New Roman" w:hAnsi="Times New Roman" w:eastAsia="仿宋_GB2312" w:cs="Times New Roman"/>
                <w:sz w:val="32"/>
                <w:szCs w:val="32"/>
                <w:lang w:val="en-US" w:eastAsia="zh-CN"/>
              </w:rPr>
              <w:t>我委指导的荣程钢铁集团氢能重卡项目已是我国北方地区最大规模氢能重卡运营项目。2019—2022年四年间，天津港年度海铁联运量实现了50万、80万、100万、120万标准箱“台阶式”跨越，2022年完成120.3万标准箱，占京津冀地区港口集装箱铁水联运总完成量（150.94万标箱）的约80%，同比增长20.2%；其中国际班列运量完成9.3万标准箱，同比增长60.3%。同时，</w:t>
            </w:r>
            <w:r>
              <w:rPr>
                <w:rFonts w:hint="default" w:ascii="Times New Roman" w:hAnsi="Times New Roman" w:eastAsia="仿宋_GB2312" w:cs="Times New Roman"/>
                <w:kern w:val="2"/>
                <w:sz w:val="32"/>
                <w:szCs w:val="24"/>
                <w:lang w:val="en-US" w:eastAsia="zh-CN" w:bidi="ar-SA"/>
              </w:rPr>
              <w:t>天津市于2021年8月6日还被交通运输部、公安部、商务部命名为“全国绿色货运配送示范城市”称号。</w:t>
            </w:r>
          </w:p>
          <w:p>
            <w:pPr>
              <w:numPr>
                <w:ilvl w:val="0"/>
                <w:numId w:val="1"/>
              </w:numPr>
              <w:spacing w:line="560" w:lineRule="exact"/>
              <w:ind w:left="0" w:leftChars="0" w:right="105" w:rightChars="50" w:firstLine="640" w:firstLineChars="200"/>
              <w:rPr>
                <w:rFonts w:hint="default" w:ascii="Times New Roman" w:hAnsi="Times New Roman" w:eastAsia="方正楷体_GBK" w:cs="Times New Roman"/>
                <w:kern w:val="2"/>
                <w:sz w:val="32"/>
                <w:szCs w:val="24"/>
                <w:lang w:val="en-US" w:eastAsia="zh-CN" w:bidi="ar-SA"/>
              </w:rPr>
            </w:pPr>
            <w:r>
              <w:rPr>
                <w:rFonts w:hint="default" w:ascii="Times New Roman" w:hAnsi="Times New Roman" w:eastAsia="方正楷体_GBK" w:cs="Times New Roman"/>
                <w:kern w:val="2"/>
                <w:sz w:val="32"/>
                <w:szCs w:val="24"/>
                <w:lang w:val="en-US" w:eastAsia="zh-CN" w:bidi="ar-SA"/>
              </w:rPr>
              <w:t>科技创新领域推动情况</w:t>
            </w:r>
          </w:p>
          <w:p>
            <w:pPr>
              <w:numPr>
                <w:ilvl w:val="0"/>
                <w:numId w:val="0"/>
              </w:numPr>
              <w:spacing w:line="560" w:lineRule="exact"/>
              <w:ind w:right="105" w:rightChars="50"/>
              <w:rPr>
                <w:rStyle w:val="12"/>
                <w:rFonts w:hint="default" w:ascii="Times New Roman" w:hAnsi="Times New Roman" w:eastAsia="仿宋_GB2312" w:cs="Times New Roman"/>
                <w:color w:val="auto"/>
                <w:lang w:eastAsia="zh-CN"/>
              </w:rPr>
            </w:pPr>
            <w:r>
              <w:rPr>
                <w:rFonts w:hint="default" w:ascii="Times New Roman" w:hAnsi="Times New Roman" w:eastAsia="仿宋_GB2312" w:cs="Times New Roman"/>
                <w:b w:val="0"/>
                <w:bCs w:val="0"/>
                <w:color w:val="auto"/>
                <w:sz w:val="32"/>
                <w:szCs w:val="32"/>
                <w:highlight w:val="none"/>
                <w:u w:val="none"/>
                <w:lang w:val="en-US" w:eastAsia="zh-CN"/>
              </w:rPr>
              <w:t xml:space="preserve">    2022年12月，市科技局联合市发展改革委、市工业和信息化局、市生态环境局、市住房城乡建设委、市交通运输委等五部门印发《天津市科技支撑碳达峰碳中和实施方案（2022—2030年）》，计划到2025年，在重点行业和领域突破一批关键核心技术，支撑单位地区生产总值能耗和二氧化碳排放完成国家下达指标，支撑非化石能源占能源消费总量比重达到11.7%以上，初步构建起绿色低碳技术创新体系。同时</w:t>
            </w:r>
            <w:r>
              <w:rPr>
                <w:rFonts w:hint="default" w:ascii="Times New Roman" w:hAnsi="Times New Roman" w:eastAsia="仿宋_GB2312" w:cs="Times New Roman"/>
                <w:sz w:val="32"/>
                <w:lang w:val="en-US" w:eastAsia="zh-CN"/>
              </w:rPr>
              <w:t>市科技局广泛组织我市企业、高校、科研院所组建联合体，积极申报国家重点研发计划交通基础设施、新能源汽车等重点专项，推荐2个创新联合体围绕交通基础设施和新能源汽车等领域开展关键核心技术攻关，打造应用示范。利用我市科技项目支持车联网、新能源、节能减排等领域相关单位开展关键核心技术攻关，打造第二辆纯太阳能车，</w:t>
            </w:r>
            <w:r>
              <w:rPr>
                <w:rStyle w:val="12"/>
                <w:rFonts w:hint="default" w:ascii="Times New Roman" w:hAnsi="Times New Roman" w:cs="Times New Roman"/>
                <w:color w:val="auto"/>
              </w:rPr>
              <w:t>推动新一代太阳能电池和动力电池、无人驾驶技术、车用轻量化材料、新一代人工智能等前沿技术验证、适配和迭代，不断提升车辆性能，续航里程取得</w:t>
            </w:r>
            <w:r>
              <w:rPr>
                <w:rStyle w:val="12"/>
                <w:rFonts w:hint="default" w:ascii="Times New Roman" w:hAnsi="Times New Roman" w:eastAsia="仿宋_GB2312" w:cs="Times New Roman"/>
                <w:color w:val="auto"/>
                <w:lang w:val="en-US" w:eastAsia="zh-CN"/>
              </w:rPr>
              <w:t>新</w:t>
            </w:r>
            <w:r>
              <w:rPr>
                <w:rStyle w:val="12"/>
                <w:rFonts w:hint="default" w:ascii="Times New Roman" w:hAnsi="Times New Roman" w:cs="Times New Roman"/>
                <w:color w:val="auto"/>
              </w:rPr>
              <w:t>突破，智能化水平持续提升</w:t>
            </w:r>
            <w:r>
              <w:rPr>
                <w:rStyle w:val="12"/>
                <w:rFonts w:hint="default" w:ascii="Times New Roman" w:hAnsi="Times New Roman" w:eastAsia="仿宋_GB2312" w:cs="Times New Roman"/>
                <w:color w:val="auto"/>
                <w:lang w:eastAsia="zh-CN"/>
              </w:rPr>
              <w:t>。</w:t>
            </w:r>
          </w:p>
          <w:p>
            <w:pPr>
              <w:numPr>
                <w:ilvl w:val="0"/>
                <w:numId w:val="2"/>
              </w:numPr>
              <w:spacing w:line="560" w:lineRule="exact"/>
              <w:ind w:left="640" w:leftChars="0" w:right="105" w:rightChars="50" w:firstLine="0" w:firstLineChars="0"/>
              <w:rPr>
                <w:rStyle w:val="12"/>
                <w:rFonts w:hint="default" w:ascii="Times New Roman" w:hAnsi="Times New Roman" w:eastAsia="黑体" w:cs="Times New Roman"/>
                <w:color w:val="auto"/>
                <w:lang w:val="en-US" w:eastAsia="zh-CN"/>
              </w:rPr>
            </w:pPr>
            <w:r>
              <w:rPr>
                <w:rStyle w:val="12"/>
                <w:rFonts w:hint="default" w:ascii="Times New Roman" w:hAnsi="Times New Roman" w:eastAsia="黑体" w:cs="Times New Roman"/>
                <w:color w:val="auto"/>
                <w:lang w:val="en-US" w:eastAsia="zh-CN"/>
              </w:rPr>
              <w:t>下一步工作计划</w:t>
            </w:r>
          </w:p>
          <w:p>
            <w:pPr>
              <w:numPr>
                <w:ilvl w:val="0"/>
                <w:numId w:val="3"/>
              </w:numPr>
              <w:spacing w:line="560" w:lineRule="exact"/>
              <w:ind w:left="640" w:leftChars="0" w:right="105" w:rightChars="50"/>
              <w:rPr>
                <w:rStyle w:val="12"/>
                <w:rFonts w:hint="default" w:ascii="Times New Roman" w:hAnsi="Times New Roman" w:eastAsia="方正楷体_GBK" w:cs="Times New Roman"/>
                <w:color w:val="auto"/>
                <w:lang w:val="en-US" w:eastAsia="zh-CN"/>
              </w:rPr>
            </w:pPr>
            <w:r>
              <w:rPr>
                <w:rStyle w:val="12"/>
                <w:rFonts w:hint="default" w:ascii="Times New Roman" w:hAnsi="Times New Roman" w:eastAsia="方正楷体_GBK" w:cs="Times New Roman"/>
                <w:color w:val="auto"/>
                <w:lang w:val="en-US" w:eastAsia="zh-CN"/>
              </w:rPr>
              <w:t>持续推进绿色交通标准制修订</w:t>
            </w:r>
          </w:p>
          <w:p>
            <w:pPr>
              <w:spacing w:line="560" w:lineRule="exact"/>
              <w:ind w:left="0" w:leftChars="0" w:right="105" w:rightChars="5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深入落实《国家标准化发展纲要》，着力加强交通运输领域标准化建设。按照《天津市交通运输标准化“十四五”发展规划》的重点任务，稳步推进绿色交通领域标准制修订。2023年京津冀三地将联合制定《绿色公路评估技术要求》区域性地方标准，同时在绿色港口建设方面，进一步完善标准技术体系，尽快出台一批先进适用的技术标准。</w:t>
            </w:r>
          </w:p>
          <w:p>
            <w:pPr>
              <w:spacing w:line="560" w:lineRule="exact"/>
              <w:ind w:left="0" w:leftChars="0" w:right="105" w:rightChars="5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稳步推动我市科技创新深入落实《国家标准化发展纲要》，着力加强交通运输领域标准化建设。按照《天津市交通运输标准化“十四五”发展规划》的重点任务，稳步推进绿色交通领域标准制修订。2023年京津冀三地将联合制定《绿色公路评估技术要求》区域性地方标准，同时在绿色港口建设方面，进一步完善标准技术体系，尽快出台一批先进适用的技术标准。</w:t>
            </w:r>
          </w:p>
          <w:p>
            <w:pPr>
              <w:numPr>
                <w:ilvl w:val="0"/>
                <w:numId w:val="4"/>
              </w:numPr>
              <w:spacing w:line="480" w:lineRule="exact"/>
              <w:ind w:left="640" w:leftChars="0" w:right="105" w:rightChars="50" w:firstLine="0" w:firstLineChars="0"/>
              <w:jc w:val="both"/>
              <w:rPr>
                <w:rFonts w:hint="default" w:ascii="Times New Roman" w:hAnsi="Times New Roman" w:eastAsia="方正楷体_GBK" w:cs="Times New Roman"/>
                <w:sz w:val="32"/>
                <w:lang w:val="en-US" w:eastAsia="zh-CN"/>
              </w:rPr>
            </w:pPr>
            <w:r>
              <w:rPr>
                <w:rFonts w:hint="default" w:ascii="Times New Roman" w:hAnsi="Times New Roman" w:eastAsia="方正楷体_GBK" w:cs="Times New Roman"/>
                <w:sz w:val="32"/>
                <w:lang w:val="en-US" w:eastAsia="zh-CN"/>
              </w:rPr>
              <w:t>稳步推动我市科技创新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105" w:rightChars="50" w:firstLine="640" w:firstLineChars="20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聚焦绿色低碳发展行动，深入落实《天津市科技支撑碳达峰碳中和实施方案（2022-2030年）》，瞄准重点领域实施重大专项，开展一批绿色低碳关键核心技术攻关，助力打造一批节能低碳示范工程；二是加强产业链上下游对接，鼓励产学研合作，推动产业链与创新链融合发展。</w:t>
            </w:r>
          </w:p>
          <w:p>
            <w:pPr>
              <w:numPr>
                <w:ilvl w:val="0"/>
                <w:numId w:val="4"/>
              </w:numPr>
              <w:spacing w:line="480" w:lineRule="exact"/>
              <w:ind w:left="640" w:leftChars="0" w:right="105" w:rightChars="50" w:firstLine="0" w:firstLineChars="0"/>
              <w:jc w:val="both"/>
              <w:rPr>
                <w:rFonts w:hint="default" w:ascii="Times New Roman" w:hAnsi="Times New Roman" w:eastAsia="方正楷体_GBK" w:cs="Times New Roman"/>
                <w:sz w:val="32"/>
                <w:szCs w:val="32"/>
                <w:highlight w:val="none"/>
                <w:lang w:val="en-US" w:eastAsia="zh-CN"/>
              </w:rPr>
            </w:pPr>
            <w:r>
              <w:rPr>
                <w:rFonts w:hint="default" w:ascii="Times New Roman" w:hAnsi="Times New Roman" w:eastAsia="方正楷体_GBK" w:cs="Times New Roman"/>
                <w:sz w:val="32"/>
                <w:szCs w:val="32"/>
                <w:highlight w:val="none"/>
                <w:lang w:val="en-US" w:eastAsia="zh-CN"/>
              </w:rPr>
              <w:t>积极发挥金融政策引导作用</w:t>
            </w:r>
          </w:p>
          <w:p>
            <w:pPr>
              <w:spacing w:line="560" w:lineRule="exact"/>
              <w:ind w:left="0" w:leftChars="0" w:right="105" w:rightChars="5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lang w:val="en-US" w:eastAsia="zh-CN"/>
              </w:rPr>
              <w:t>持续推动《关于构建天津市绿色金融体系实施意见》和《关于进一步推动天津市绿色金融创新发展的指导意见》的落地实施，用足用好碳减排支持工具等央行货币政策工具，加强金融方面支持。支持东疆综合保税区建设绿色租赁服务流程试行区，先行开展绿色租赁服务流程创新实践。支持远东、仲津、一汽等租赁公司在新能源零部件、整车销售等领域发挥融资租赁服务绿色物流的作用。</w:t>
            </w:r>
          </w:p>
          <w:p>
            <w:pPr>
              <w:spacing w:line="560" w:lineRule="exact"/>
              <w:ind w:left="0" w:leftChars="0" w:right="105" w:rightChars="50"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加快推进“科教兴市人才强市行动”</w:t>
            </w:r>
          </w:p>
          <w:p>
            <w:pPr>
              <w:spacing w:line="560" w:lineRule="exact"/>
              <w:ind w:left="0" w:leftChars="0" w:right="105" w:rightChars="50" w:firstLine="640" w:firstLineChars="200"/>
              <w:rPr>
                <w:rStyle w:val="12"/>
                <w:rFonts w:hint="default" w:ascii="Times New Roman" w:hAnsi="Times New Roman" w:eastAsia="方正楷体_GBK" w:cs="Times New Roman"/>
                <w:color w:val="auto"/>
                <w:lang w:val="en-US" w:eastAsia="zh-CN"/>
              </w:rPr>
            </w:pPr>
            <w:r>
              <w:rPr>
                <w:rFonts w:hint="default" w:ascii="Times New Roman" w:hAnsi="Times New Roman" w:eastAsia="仿宋_GB2312" w:cs="Times New Roman"/>
                <w:sz w:val="32"/>
                <w:szCs w:val="32"/>
                <w:lang w:val="en-US" w:eastAsia="zh-CN"/>
              </w:rPr>
              <w:t>围绕我市重点产业发展方向和功能定位，搭建人才引进和对接交流平台，畅通引才渠道，组织“线上+线下”相结合的人才智力引进活动。不断延伸平台服务辐射范围，加快对接引进一批“高精尖缺”人才，广泛征集信创、生物医药、高端装备、新能源新材料等原始创新动能强、人才需求旺盛的用人单位人才需求，科学精准编制高层次和紧缺人才目录。搭建高校人才引进和对接交流平台，开展“双一流”高校天津专场招聘会等入校园活动，组织重点企事业单位携优质人才岗位需求与高校毕业生精准对接。围绕制造业转型升级，开展多层次职业技能培训，大力推进企业新型学徒制、项目定制培训，加快建设高素质产业人才队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right"/>
              <w:rPr>
                <w:rFonts w:hint="default" w:ascii="Times New Roman" w:hAnsi="Times New Roman" w:eastAsia="仿宋_GB2312" w:cs="Times New Roman"/>
                <w:sz w:val="32"/>
                <w:lang w:val="en-US" w:eastAsia="zh-CN"/>
              </w:rPr>
            </w:pPr>
            <w:bookmarkStart w:id="3" w:name="now"/>
          </w:p>
          <w:p>
            <w:pPr>
              <w:spacing w:line="480" w:lineRule="exact"/>
              <w:ind w:right="105" w:rightChars="50"/>
              <w:jc w:val="right"/>
              <w:rPr>
                <w:rFonts w:hint="default" w:ascii="Times New Roman" w:hAnsi="Times New Roman" w:eastAsia="仿宋_GB2312" w:cs="Times New Roman"/>
                <w:sz w:val="32"/>
              </w:rPr>
            </w:pPr>
            <w:r>
              <w:rPr>
                <w:rFonts w:hint="default" w:ascii="Times New Roman" w:hAnsi="Times New Roman" w:eastAsia="仿宋_GB2312" w:cs="Times New Roman"/>
                <w:sz w:val="32"/>
                <w:lang w:val="en-US" w:eastAsia="zh-CN"/>
              </w:rPr>
              <w:t>2023年</w:t>
            </w:r>
            <w:r>
              <w:rPr>
                <w:rFonts w:hint="eastAsia" w:eastAsia="仿宋_GB2312" w:cs="Times New Roman"/>
                <w:sz w:val="32"/>
                <w:lang w:val="en-US" w:eastAsia="zh-CN"/>
              </w:rPr>
              <w:t>4</w:t>
            </w:r>
            <w:r>
              <w:rPr>
                <w:rFonts w:hint="default" w:ascii="Times New Roman" w:hAnsi="Times New Roman" w:eastAsia="仿宋_GB2312" w:cs="Times New Roman"/>
                <w:sz w:val="32"/>
                <w:lang w:val="en-US" w:eastAsia="zh-CN"/>
              </w:rPr>
              <w:t>月</w:t>
            </w:r>
            <w:r>
              <w:rPr>
                <w:rFonts w:hint="eastAsia" w:eastAsia="仿宋_GB2312" w:cs="Times New Roman"/>
                <w:sz w:val="32"/>
                <w:lang w:val="en-US" w:eastAsia="zh-CN"/>
              </w:rPr>
              <w:t>12</w:t>
            </w:r>
            <w:r>
              <w:rPr>
                <w:rFonts w:hint="default" w:ascii="Times New Roman" w:hAnsi="Times New Roman" w:eastAsia="仿宋_GB2312" w:cs="Times New Roman"/>
                <w:sz w:val="32"/>
                <w:lang w:val="en-US" w:eastAsia="zh-CN"/>
              </w:rPr>
              <w:t>日</w:t>
            </w:r>
            <w:bookmarkEnd w:id="3"/>
            <w:r>
              <w:rPr>
                <w:rFonts w:hint="default" w:ascii="Times New Roman" w:hAnsi="Times New Roman" w:eastAsia="仿宋_GB2312" w:cs="Times New Roman"/>
                <w:sz w:val="32"/>
              </w:rPr>
              <w:t xml:space="preserve"> </w:t>
            </w:r>
            <w:bookmarkStart w:id="4" w:name="_GoBack"/>
            <w:bookmarkEnd w:id="4"/>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CC766"/>
    <w:multiLevelType w:val="singleLevel"/>
    <w:tmpl w:val="C9DCC766"/>
    <w:lvl w:ilvl="0" w:tentative="0">
      <w:start w:val="2"/>
      <w:numFmt w:val="chineseCounting"/>
      <w:suff w:val="nothing"/>
      <w:lvlText w:val="（%1）"/>
      <w:lvlJc w:val="left"/>
      <w:rPr>
        <w:rFonts w:hint="eastAsia"/>
      </w:rPr>
    </w:lvl>
  </w:abstractNum>
  <w:abstractNum w:abstractNumId="1">
    <w:nsid w:val="DFB727E2"/>
    <w:multiLevelType w:val="singleLevel"/>
    <w:tmpl w:val="DFB727E2"/>
    <w:lvl w:ilvl="0" w:tentative="0">
      <w:start w:val="2"/>
      <w:numFmt w:val="chineseCounting"/>
      <w:suff w:val="nothing"/>
      <w:lvlText w:val="（%1）"/>
      <w:lvlJc w:val="left"/>
      <w:pPr>
        <w:ind w:left="640" w:leftChars="0" w:firstLine="0" w:firstLineChars="0"/>
      </w:pPr>
      <w:rPr>
        <w:rFonts w:hint="eastAsia"/>
      </w:rPr>
    </w:lvl>
  </w:abstractNum>
  <w:abstractNum w:abstractNumId="2">
    <w:nsid w:val="EFBFC622"/>
    <w:multiLevelType w:val="singleLevel"/>
    <w:tmpl w:val="EFBFC622"/>
    <w:lvl w:ilvl="0" w:tentative="0">
      <w:start w:val="2"/>
      <w:numFmt w:val="chineseCounting"/>
      <w:suff w:val="nothing"/>
      <w:lvlText w:val="%1、"/>
      <w:lvlJc w:val="left"/>
      <w:pPr>
        <w:ind w:left="640" w:leftChars="0" w:firstLine="0" w:firstLineChars="0"/>
      </w:pPr>
      <w:rPr>
        <w:rFonts w:hint="eastAsia"/>
      </w:rPr>
    </w:lvl>
  </w:abstractNum>
  <w:abstractNum w:abstractNumId="3">
    <w:nsid w:val="FDD75B54"/>
    <w:multiLevelType w:val="singleLevel"/>
    <w:tmpl w:val="FDD75B54"/>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2F7F2A32"/>
    <w:rsid w:val="377A2E5E"/>
    <w:rsid w:val="385C0DBD"/>
    <w:rsid w:val="3A57702C"/>
    <w:rsid w:val="447E3320"/>
    <w:rsid w:val="45CB5298"/>
    <w:rsid w:val="497D6565"/>
    <w:rsid w:val="4B30475B"/>
    <w:rsid w:val="4CA33CB0"/>
    <w:rsid w:val="4D14258D"/>
    <w:rsid w:val="57073EC0"/>
    <w:rsid w:val="59C6063C"/>
    <w:rsid w:val="63E612D4"/>
    <w:rsid w:val="693053CC"/>
    <w:rsid w:val="6AB50BAB"/>
    <w:rsid w:val="6CA056C1"/>
    <w:rsid w:val="6D957ABF"/>
    <w:rsid w:val="7312333B"/>
    <w:rsid w:val="75561D3A"/>
    <w:rsid w:val="7952225A"/>
    <w:rsid w:val="7D174045"/>
    <w:rsid w:val="7D906DB7"/>
    <w:rsid w:val="7E674295"/>
    <w:rsid w:val="B3ED7D1C"/>
    <w:rsid w:val="DEDB7F81"/>
    <w:rsid w:val="DF9102A3"/>
    <w:rsid w:val="DFFE39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 w:type="character" w:customStyle="1" w:styleId="12">
    <w:name w:val="GB_23121"/>
    <w:qFormat/>
    <w:uiPriority w:val="0"/>
    <w:rPr>
      <w:rFonts w:ascii="仿宋_GB2312" w:hAnsi="仿宋_GB2312" w:eastAsia="仿宋_GB2312" w:cs="仿宋_GB2312"/>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12</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2021-04-07T19:49:00Z</dcterms:created>
  <dc:creator>wjc</dc:creator>
  <cp:lastModifiedBy>kylin</cp:lastModifiedBy>
  <dcterms:modified xsi:type="dcterms:W3CDTF">2023-08-03T15:32:28Z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