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5037" w:type="pct"/>
        <w:tblInd w:w="-34" w:type="dxa"/>
        <w:tblLayout w:type="autofit"/>
        <w:tblCellMar>
          <w:top w:w="0" w:type="dxa"/>
          <w:left w:w="108" w:type="dxa"/>
          <w:bottom w:w="0" w:type="dxa"/>
          <w:right w:w="108" w:type="dxa"/>
        </w:tblCellMar>
      </w:tblPr>
      <w:tblGrid>
        <w:gridCol w:w="9356"/>
      </w:tblGrid>
      <w:tr>
        <w:tblPrEx>
          <w:tblCellMar>
            <w:top w:w="0" w:type="dxa"/>
            <w:left w:w="108" w:type="dxa"/>
            <w:bottom w:w="0" w:type="dxa"/>
            <w:right w:w="108" w:type="dxa"/>
          </w:tblCellMar>
        </w:tblPrEx>
        <w:tc>
          <w:tcPr>
            <w:tcW w:w="5000" w:type="pct"/>
            <w:tcBorders>
              <w:tl2br w:val="nil"/>
              <w:tr2bl w:val="nil"/>
            </w:tcBorders>
            <w:vAlign w:val="center"/>
          </w:tcPr>
          <w:p>
            <w:pPr>
              <w:jc w:val="center"/>
              <w:rPr>
                <w:rFonts w:hint="default" w:ascii="Times New Roman" w:hAnsi="Times New Roman" w:cs="Times New Roman"/>
                <w:b/>
                <w:bCs/>
                <w:sz w:val="44"/>
              </w:rPr>
            </w:pPr>
            <w:bookmarkStart w:id="4" w:name="_GoBack"/>
            <w:bookmarkStart w:id="0" w:name="bt"/>
            <w:r>
              <w:rPr>
                <w:rFonts w:hint="default" w:ascii="Times New Roman" w:hAnsi="Times New Roman" w:cs="Times New Roman"/>
                <w:b/>
                <w:bCs/>
                <w:sz w:val="44"/>
              </w:rPr>
              <w:t>对市政协第十五届一次会议</w:t>
            </w:r>
            <w:r>
              <w:rPr>
                <w:rFonts w:hint="default" w:ascii="Times New Roman" w:hAnsi="Times New Roman" w:cs="Times New Roman"/>
                <w:b/>
                <w:bCs/>
                <w:sz w:val="44"/>
              </w:rPr>
              <w:br w:type="textWrapping"/>
            </w:r>
            <w:r>
              <w:rPr>
                <w:rFonts w:hint="default" w:ascii="Times New Roman" w:hAnsi="Times New Roman" w:cs="Times New Roman"/>
                <w:b/>
                <w:bCs/>
                <w:sz w:val="44"/>
              </w:rPr>
              <w:t>第0233号提案的办理答复</w:t>
            </w:r>
            <w:bookmarkEnd w:id="0"/>
            <w:bookmarkEnd w:id="4"/>
          </w:p>
        </w:tc>
      </w:tr>
      <w:tr>
        <w:tblPrEx>
          <w:tblCellMar>
            <w:top w:w="0" w:type="dxa"/>
            <w:left w:w="108" w:type="dxa"/>
            <w:bottom w:w="0" w:type="dxa"/>
            <w:right w:w="108" w:type="dxa"/>
          </w:tblCellMar>
        </w:tblPrEx>
        <w:tc>
          <w:tcPr>
            <w:tcW w:w="5000" w:type="pct"/>
            <w:tcBorders>
              <w:tl2br w:val="nil"/>
              <w:tr2bl w:val="nil"/>
            </w:tcBorders>
          </w:tcPr>
          <w:p>
            <w:pPr>
              <w:keepNext w:val="0"/>
              <w:keepLines w:val="0"/>
              <w:pageBreakBefore w:val="0"/>
              <w:widowControl w:val="0"/>
              <w:kinsoku/>
              <w:wordWrap/>
              <w:overflowPunct/>
              <w:topLinePunct w:val="0"/>
              <w:autoSpaceDE/>
              <w:autoSpaceDN/>
              <w:bidi w:val="0"/>
              <w:adjustRightInd/>
              <w:snapToGrid/>
              <w:spacing w:line="600" w:lineRule="exact"/>
              <w:ind w:right="105" w:rightChars="50"/>
              <w:textAlignment w:val="auto"/>
              <w:rPr>
                <w:rFonts w:hint="default" w:ascii="Times New Roman" w:hAnsi="Times New Roman" w:eastAsia="仿宋_GB2312" w:cs="Times New Roman"/>
                <w:sz w:val="32"/>
              </w:rPr>
            </w:pPr>
            <w:bookmarkStart w:id="1" w:name="chenghu"/>
            <w:r>
              <w:rPr>
                <w:rFonts w:hint="default" w:ascii="Times New Roman" w:hAnsi="Times New Roman" w:eastAsia="仿宋_GB2312" w:cs="Times New Roman"/>
                <w:sz w:val="32"/>
              </w:rPr>
              <w:t>天津市工商联</w:t>
            </w:r>
            <w:bookmarkEnd w:id="1"/>
            <w:r>
              <w:rPr>
                <w:rFonts w:hint="default" w:ascii="Times New Roman" w:hAnsi="Times New Roman" w:eastAsia="仿宋_GB2312" w:cs="Times New Roman"/>
                <w:sz w:val="32"/>
              </w:rPr>
              <w:t>：</w:t>
            </w:r>
          </w:p>
        </w:tc>
      </w:tr>
      <w:tr>
        <w:tblPrEx>
          <w:tblCellMar>
            <w:top w:w="0" w:type="dxa"/>
            <w:left w:w="108" w:type="dxa"/>
            <w:bottom w:w="0" w:type="dxa"/>
            <w:right w:w="108" w:type="dxa"/>
          </w:tblCellMar>
        </w:tblPrEx>
        <w:tc>
          <w:tcPr>
            <w:tcW w:w="5000" w:type="pct"/>
            <w:tcBorders>
              <w:tl2br w:val="nil"/>
              <w:tr2bl w:val="nil"/>
            </w:tcBorders>
          </w:tcPr>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szCs w:val="18"/>
              </w:rPr>
              <w:t>　　</w:t>
            </w:r>
            <w:bookmarkStart w:id="2" w:name="shuo"/>
            <w:r>
              <w:rPr>
                <w:rFonts w:hint="default" w:ascii="Times New Roman" w:hAnsi="Times New Roman" w:eastAsia="仿宋_GB2312" w:cs="Times New Roman"/>
                <w:sz w:val="32"/>
                <w:szCs w:val="18"/>
              </w:rPr>
              <w:t>贵党派提出的关于发展多式联运 提升天津港物流竞争力的提案，经会同市商务局、铁路北京局集团天津办事处、市发展改革委、天津海关、滨海新区研究答复如下</w:t>
            </w:r>
            <w:bookmarkEnd w:id="2"/>
            <w:r>
              <w:rPr>
                <w:rFonts w:hint="default" w:ascii="Times New Roman" w:hAnsi="Times New Roman" w:eastAsia="仿宋_GB2312" w:cs="Times New Roman"/>
                <w:sz w:val="32"/>
                <w:szCs w:val="18"/>
              </w:rPr>
              <w:t>：</w:t>
            </w:r>
          </w:p>
        </w:tc>
      </w:tr>
      <w:tr>
        <w:tblPrEx>
          <w:tblCellMar>
            <w:top w:w="0" w:type="dxa"/>
            <w:left w:w="108" w:type="dxa"/>
            <w:bottom w:w="0" w:type="dxa"/>
            <w:right w:w="108" w:type="dxa"/>
          </w:tblCellMar>
        </w:tblPrEx>
        <w:trPr>
          <w:trHeight w:val="812" w:hRule="atLeast"/>
        </w:trPr>
        <w:tc>
          <w:tcPr>
            <w:tcW w:w="5000" w:type="pct"/>
            <w:tcBorders>
              <w:tl2br w:val="nil"/>
              <w:tr2bl w:val="nil"/>
            </w:tcBorders>
          </w:tcPr>
          <w:p>
            <w:pPr>
              <w:keepNext w:val="0"/>
              <w:keepLines w:val="0"/>
              <w:pageBreakBefore w:val="0"/>
              <w:widowControl w:val="0"/>
              <w:kinsoku/>
              <w:wordWrap/>
              <w:overflowPunct/>
              <w:topLinePunct w:val="0"/>
              <w:autoSpaceDE/>
              <w:autoSpaceDN/>
              <w:bidi w:val="0"/>
              <w:adjustRightInd/>
              <w:snapToGrid/>
              <w:spacing w:line="600" w:lineRule="exact"/>
              <w:ind w:right="105" w:rightChars="50"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一、2020年8月20日，天津市财政局、天津市发展改革委、天津市交通运输委、天津市规划和自然资源局、天津市滨海新区人民政府联合印发实施《支持天津港建设世界一流港口财政扶持政策》（津财预〔2020〕）46号），对水水中转等项目给予财政扶持，推进天津港集团开发集装箱精品航线和环渤海内支线“天天班”，，海铁联运超过120万标箱，增幅超过20%，保持全国前列。天津港不断完善市场营销体系，内陆营销网络辐射腹地13个省市自治区</w:t>
            </w:r>
            <w:r>
              <w:rPr>
                <w:rFonts w:hint="default" w:ascii="Times New Roman" w:hAnsi="Times New Roman" w:eastAsia="仿宋_GB2312" w:cs="Times New Roman"/>
                <w:sz w:val="32"/>
                <w:lang w:val="en"/>
              </w:rPr>
              <w:t>，增强港口对区域经济的辐射带动作用</w:t>
            </w:r>
            <w:r>
              <w:rPr>
                <w:rFonts w:hint="default" w:ascii="Times New Roman" w:hAnsi="Times New Roman" w:eastAsia="仿宋_GB2312" w:cs="Times New Roman"/>
                <w:sz w:val="32"/>
              </w:rPr>
              <w:t>。</w:t>
            </w:r>
          </w:p>
          <w:p>
            <w:pPr>
              <w:keepNext w:val="0"/>
              <w:keepLines w:val="0"/>
              <w:pageBreakBefore w:val="0"/>
              <w:widowControl w:val="0"/>
              <w:kinsoku/>
              <w:wordWrap/>
              <w:overflowPunct/>
              <w:topLinePunct w:val="0"/>
              <w:autoSpaceDE/>
              <w:autoSpaceDN/>
              <w:bidi w:val="0"/>
              <w:adjustRightInd/>
              <w:snapToGrid/>
              <w:spacing w:line="600" w:lineRule="exact"/>
              <w:ind w:right="105" w:rightChars="50"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二、市交通运输委会同市有关部门单位正在研究编制的促进港产城高质量融合发展的政策措施中，设立海铁联运专项，全力培育支持海铁联运优质项目发展。目前，相关情况已专题报市领导审阅，将根据领导批示要求，修改完善尽快出台实施。</w:t>
            </w:r>
          </w:p>
          <w:p>
            <w:pPr>
              <w:keepNext w:val="0"/>
              <w:keepLines w:val="0"/>
              <w:pageBreakBefore w:val="0"/>
              <w:widowControl w:val="0"/>
              <w:kinsoku/>
              <w:wordWrap/>
              <w:overflowPunct/>
              <w:topLinePunct w:val="0"/>
              <w:autoSpaceDE/>
              <w:autoSpaceDN/>
              <w:bidi w:val="0"/>
              <w:adjustRightInd/>
              <w:snapToGrid/>
              <w:spacing w:line="600" w:lineRule="exact"/>
              <w:ind w:right="105" w:rightChars="50"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三、积极配合市商务局筹备中国（天津）国际航运产业博览会（拟）。2023年2月21日，市交通运输委，市港航局相关负责同志专门赴交通运输部就共同主办航运博览会工作进行沟通，后续将继续跟进相关事宜。</w:t>
            </w:r>
          </w:p>
        </w:tc>
      </w:tr>
      <w:tr>
        <w:tblPrEx>
          <w:tblCellMar>
            <w:top w:w="0" w:type="dxa"/>
            <w:left w:w="108" w:type="dxa"/>
            <w:bottom w:w="0" w:type="dxa"/>
            <w:right w:w="108" w:type="dxa"/>
          </w:tblCellMar>
        </w:tblPrEx>
        <w:tc>
          <w:tcPr>
            <w:tcW w:w="5000" w:type="pct"/>
            <w:tcBorders>
              <w:tl2br w:val="nil"/>
              <w:tr2bl w:val="nil"/>
            </w:tcBorders>
          </w:tcPr>
          <w:p>
            <w:pPr>
              <w:spacing w:line="480" w:lineRule="exact"/>
              <w:ind w:right="105" w:rightChars="50"/>
              <w:rPr>
                <w:rFonts w:hint="default" w:ascii="Times New Roman" w:hAnsi="Times New Roman" w:eastAsia="仿宋_GB2312" w:cs="Times New Roman"/>
                <w:sz w:val="32"/>
              </w:rPr>
            </w:pPr>
          </w:p>
          <w:p>
            <w:pPr>
              <w:spacing w:line="480" w:lineRule="exact"/>
              <w:ind w:right="105" w:rightChars="50"/>
              <w:jc w:val="right"/>
              <w:rPr>
                <w:rFonts w:hint="default" w:ascii="Times New Roman" w:hAnsi="Times New Roman" w:eastAsia="仿宋_GB2312" w:cs="Times New Roman"/>
                <w:sz w:val="32"/>
              </w:rPr>
            </w:pPr>
            <w:bookmarkStart w:id="3" w:name="now"/>
            <w:r>
              <w:rPr>
                <w:rFonts w:hint="default" w:ascii="Times New Roman" w:hAnsi="Times New Roman" w:eastAsia="仿宋_GB2312" w:cs="Times New Roman"/>
                <w:sz w:val="32"/>
              </w:rPr>
              <w:t>2023年2月2</w:t>
            </w:r>
            <w:r>
              <w:rPr>
                <w:rFonts w:hint="default" w:ascii="Times New Roman" w:hAnsi="Times New Roman" w:eastAsia="仿宋_GB2312" w:cs="Times New Roman"/>
                <w:sz w:val="32"/>
                <w:lang w:val="en"/>
              </w:rPr>
              <w:t>7</w:t>
            </w:r>
            <w:r>
              <w:rPr>
                <w:rFonts w:hint="default" w:ascii="Times New Roman" w:hAnsi="Times New Roman" w:eastAsia="仿宋_GB2312" w:cs="Times New Roman"/>
                <w:sz w:val="32"/>
              </w:rPr>
              <w:t>日</w:t>
            </w:r>
            <w:bookmarkEnd w:id="3"/>
            <w:r>
              <w:rPr>
                <w:rFonts w:hint="default" w:ascii="Times New Roman" w:hAnsi="Times New Roman" w:eastAsia="仿宋_GB2312" w:cs="Times New Roman"/>
                <w:sz w:val="32"/>
              </w:rPr>
              <w:t xml:space="preserve">   </w:t>
            </w:r>
          </w:p>
        </w:tc>
      </w:tr>
    </w:tbl>
    <w:p>
      <w:pPr>
        <w:spacing w:line="20" w:lineRule="exact"/>
        <w:ind w:right="1151" w:rightChars="548"/>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2</w:t>
    </w:r>
    <w:r>
      <w:rPr>
        <w:rStyle w:val="11"/>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dit="readOnly" w:enforcement="0"/>
  <w:defaultTabStop w:val="425"/>
  <w:drawingGridVerticalSpacing w:val="156"/>
  <w:noPunctuationKerning w:val="true"/>
  <w:characterSpacingControl w:val="compressPunctuation"/>
  <w:compat>
    <w:spaceForUL/>
    <w:balanceSingleByteDoubleByteWidth/>
    <w:doNotLeaveBackslashAlone/>
    <w:ulTrailSpace/>
    <w:doNotExpandShiftReturn/>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0B1F88"/>
    <w:rsid w:val="00116DAE"/>
    <w:rsid w:val="00151656"/>
    <w:rsid w:val="00160D66"/>
    <w:rsid w:val="00172A27"/>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13ED4"/>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07FD7"/>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DCA2874"/>
    <w:rsid w:val="377A2E5E"/>
    <w:rsid w:val="385C0DBD"/>
    <w:rsid w:val="3A57702C"/>
    <w:rsid w:val="447E3320"/>
    <w:rsid w:val="45CB5298"/>
    <w:rsid w:val="4B30475B"/>
    <w:rsid w:val="4CA33CB0"/>
    <w:rsid w:val="4D14258D"/>
    <w:rsid w:val="53F6B7C9"/>
    <w:rsid w:val="57073EC0"/>
    <w:rsid w:val="59C6063C"/>
    <w:rsid w:val="5FD964C9"/>
    <w:rsid w:val="5FE08585"/>
    <w:rsid w:val="63E612D4"/>
    <w:rsid w:val="693053CC"/>
    <w:rsid w:val="697B362A"/>
    <w:rsid w:val="6AB50BAB"/>
    <w:rsid w:val="6CA056C1"/>
    <w:rsid w:val="6D957ABF"/>
    <w:rsid w:val="6F7D9D77"/>
    <w:rsid w:val="7312333B"/>
    <w:rsid w:val="75561D3A"/>
    <w:rsid w:val="75BF1D63"/>
    <w:rsid w:val="7952225A"/>
    <w:rsid w:val="7A9FFF81"/>
    <w:rsid w:val="7D174045"/>
    <w:rsid w:val="7D906DB7"/>
    <w:rsid w:val="7E674295"/>
    <w:rsid w:val="7FB79DD6"/>
    <w:rsid w:val="7FFFE458"/>
    <w:rsid w:val="E5BF7F7A"/>
    <w:rsid w:val="EE379B1C"/>
    <w:rsid w:val="F5EFED60"/>
    <w:rsid w:val="F7B7C6E6"/>
    <w:rsid w:val="FBF57AA8"/>
    <w:rsid w:val="FBF60F0C"/>
    <w:rsid w:val="FF56D8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3"/>
    <w:semiHidden/>
    <w:unhideWhenUsed/>
    <w:qFormat/>
    <w:uiPriority w:val="99"/>
    <w:pPr>
      <w:tabs>
        <w:tab w:val="center" w:pos="4153"/>
        <w:tab w:val="right" w:pos="8306"/>
      </w:tabs>
      <w:snapToGrid w:val="0"/>
      <w:jc w:val="left"/>
    </w:pPr>
    <w:rPr>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table" w:styleId="8">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
    <w:name w:val="Strong"/>
    <w:basedOn w:val="9"/>
    <w:qFormat/>
    <w:uiPriority w:val="22"/>
    <w:rPr>
      <w:b/>
    </w:rPr>
  </w:style>
  <w:style w:type="character" w:styleId="11">
    <w:name w:val="page number"/>
    <w:basedOn w:val="9"/>
    <w:qFormat/>
    <w:uiPriority w:val="0"/>
  </w:style>
  <w:style w:type="character" w:customStyle="1" w:styleId="12">
    <w:name w:val="页眉 字符"/>
    <w:basedOn w:val="9"/>
    <w:link w:val="5"/>
    <w:semiHidden/>
    <w:qFormat/>
    <w:uiPriority w:val="99"/>
    <w:rPr>
      <w:kern w:val="2"/>
      <w:sz w:val="18"/>
      <w:szCs w:val="18"/>
    </w:rPr>
  </w:style>
  <w:style w:type="character" w:customStyle="1" w:styleId="13">
    <w:name w:val="页脚 字符"/>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spice</Company>
  <Pages>2</Pages>
  <Words>96</Words>
  <Characters>548</Characters>
  <Lines>4</Lines>
  <Paragraphs>1</Paragraphs>
  <TotalTime>0</TotalTime>
  <ScaleCrop>false</ScaleCrop>
  <LinksUpToDate>false</LinksUpToDate>
  <CharactersWithSpaces>643</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2021-04-08T19:49:00Z</dcterms:created>
  <dc:creator>wjc</dc:creator>
  <cp:lastModifiedBy>kylin</cp:lastModifiedBy>
  <dcterms:modified xsi:type="dcterms:W3CDTF">2023-08-03T15:22:47Z</dcterms:modified>
  <dc:title>各区县委办局办公室：</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