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9264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7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对市政协第十四届五次会议</w:t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44"/>
                <w:lang w:val="en-US" w:eastAsia="zh-CN"/>
              </w:rPr>
              <w:t>第0157号提案的办理答复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/>
              <w:textAlignment w:val="auto"/>
              <w:rPr>
                <w:ins w:id="0" w:author="kylin" w:date="2022-06-29T17:36:19Z"/>
                <w:rFonts w:hint="eastAsia" w:eastAsia="仿宋_GB2312"/>
                <w:sz w:val="32"/>
                <w:lang w:val="en-US" w:eastAsia="zh-CN"/>
              </w:rPr>
            </w:pPr>
            <w:bookmarkStart w:id="2" w:name="chenghu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/>
              <w:textAlignment w:val="auto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民建天津市委会</w:t>
            </w:r>
            <w:bookmarkEnd w:id="2"/>
            <w:r>
              <w:rPr>
                <w:rFonts w:eastAsia="仿宋_GB2312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18"/>
              </w:rPr>
              <w:t>　　</w:t>
            </w:r>
            <w:bookmarkStart w:id="3" w:name="shuo"/>
            <w:r>
              <w:rPr>
                <w:rFonts w:hint="eastAsia" w:eastAsia="仿宋_GB2312"/>
                <w:sz w:val="32"/>
                <w:szCs w:val="18"/>
                <w:lang w:val="en-US" w:eastAsia="zh-CN"/>
              </w:rPr>
              <w:t>贵党派提出的关于加快推进绿色交通发展的提案，经会同市住房城乡建设委、市机关事务管理局、市发展改革委、市规划和自然资源局、电力公司、市城市管理委研究答复如下</w:t>
            </w:r>
            <w:bookmarkEnd w:id="3"/>
            <w:r>
              <w:rPr>
                <w:rFonts w:eastAsia="仿宋_GB2312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lang w:val="en-US" w:eastAsia="zh-CN"/>
              </w:rPr>
              <w:t>一、科学谋划绿色交通发展顶层设计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>经市政府第157次常务会审议通过，8月12日市政府办公厅印发了《天津市综合交通运输“十四五”规划》。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《规划》中明确指出，到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2025年，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建设双碳引领、精明增长的绿色交通体系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绿色出行比例达到75%以上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；到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2035年，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智慧绿色交通发展水平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居全国前列，交通运输领域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提前实现碳达峰。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为进一步明确“十四五”绿色交通发展方向，市交通运输委研究制定了《天津市绿色交通运输“十四五”发展规划》，《规划》提出要将生态文明建设融入到交通运输发展的各方面，到2025年基本建立基础设施环境友好、运输装备清洁低碳、运输组织集约高效的绿色交通体系。其中，港口大宗货物采用铁路、水运、封闭式皮带管廊、新能源汽车运输的比例达到80%，港口集装箱海铁联运量平均年增长率达到15%，高速公路、普通国省道沥青旧路面材料循环利用率均达到100%，新增大宗货物年货运量150万吨以上的大型工业企业铁路专用线接入比例达到100%，轨道运营里程达到500公里，新增或更新公交和物流配送车辆中新能源达到80%，新增新能源、清洁能源动力的交通工具比例达到20%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二、着力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推进绿色交通基础设施建设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一是加快建设一流绿色港口，推进港口低碳装备应用，有序推进天津港岸电设施改造，促进岸电设施常态化使用。进一步优化港口运输结构，推进多式联运发展。加大港口污染治理力度，推进“低碳码头”试点创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二是全面推进绿色公路建设，新改建高速公路全部按照绿色公路要求建设，推动普通国省道绿色公路示范工程建设。加大资源循环利用力度，强化空间资源集约利用，高速公路、普通国省道沥青旧路面材料循环利用率均力争达到100%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三是由市发展改革部门牵头，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加快推动新能源公交场站（停车场）建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设，逐步消除公交车占道停车，结合新能源汽车推广，加快停车场（楼）充电设施建设，为新能源汽车推广使用创造条件。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四是由住建部门牵头，积极组织推动地铁建设中的智慧交通建设，目前已在4号线南段工程金街站、6号线工程（梅林路站~咸水沽西站）渌水道站和10号线一期工程环宇道站开展智慧车站示范站建设。利用新一代通信技术、智能终端设备和数据分析应用，实现了智能安检、客流监测、环境感知、一键开关站、语音购票及问询、智能客服中心、智能调光、智慧车站温湿度管控等20余项功能，一定程度上提升了运营管理效率、乘客服务水平和乘客乘车体验。目前金街站和渌水道站已开通运营，环宇道站将随10号线一期工程同期开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三、大力优先发展城市公共交通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一是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我市正在开展的国土空间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总体规划、综合交通体系、轨道交通线网、公共停车场等规划编制工作中，明确提出构建以轨道交通为骨架的绿色交通体系，引导城市空间布局。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二是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着力提升城市公共交通服务水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平，完善多层次公交体系，形成轨道交通为主导、地面公交为主体、定制公交、出租车、网约车等多种方式补充的交通出行体系，并对</w:t>
            </w:r>
            <w:r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  <w:t>城市慢行交通提出了要求。规划提出至2035年我市绿色交通出行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分担率（轨道交通+公共交通+慢行交通）不低于80%，轨道交通出行占公共交通出行的60%的发展目标。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三是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打造公交都市标杆城市，实施公交场站补短板工程、公交线网年度优化工程、中途站提升改造工程。提升城市轨道交通服务水平，加强互联网租赁自行车运营管理，强化与公共交通融合发展。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四、全面推广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新能源汽车使用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一是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  <w:t>推进公交车、出租车等城市公共服务车辆的新能源应用，新增或更新公交和物流配送车辆中新能源达到80%以上，新增或更新巡游出租车、网络预约出租车原则上采用新能源车辆。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eastAsia="仿宋_GB2312" w:cs="Times New Roman"/>
                <w:sz w:val="32"/>
                <w:szCs w:val="32"/>
                <w:highlight w:val="none"/>
                <w:lang w:eastAsia="zh-CN"/>
              </w:rPr>
              <w:t>二是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  <w:t>鼓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励开展氢燃料汽车试点应用，在钢铁等工矿企业场内短途运输推广应用纯电动重卡、氢燃料汽车。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三是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推动高速公路服务区、交通枢纽、物流中心、公交场站等区域充（换）电设施建设，为绿色运输和绿色出行提供便利，力争2025年实现具备条件的高速公路服务区充电桩覆盖率达到100%，当年新增新能源、清洁能源动力的交通工具比例达到20%左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四是继续实施新能源小客车不限购、不限行政策，鼓励市民积极购买新能源小客车。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  <w:t>五、积极倡导绿色出行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一是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支持鼓励相关企业发展“出行即服务（MaaS）”，积极开展绿色出行创建活动，引导公众出行优先选择公共交通、步行和共享单车等绿色出行方式，不断提升城市绿色出行比例。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二是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持续开展绿色交通宣传教育，引导全行业提升生态文明理念，形成全社会共同关心、支持和参与交通运输绿色发展的合力。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三是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结合绿色出行宣传月和公交出行宣传周等开展绿色交通宣传。针对交通运输行业管理和从业人员，组织开展绿色交通相关培训，提高绿色交通工作能力和水平。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right="105" w:rightChars="50" w:firstLine="640" w:firstLineChars="200"/>
              <w:textAlignment w:val="auto"/>
              <w:rPr>
                <w:rFonts w:hint="eastAsia" w:eastAsia="仿宋_GB2312" w:cs="Times New Roman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80" w:lineRule="exact"/>
              <w:ind w:right="105" w:rightChars="50"/>
              <w:jc w:val="both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480" w:lineRule="exact"/>
              <w:ind w:right="105" w:rightChars="50"/>
              <w:jc w:val="right"/>
              <w:rPr>
                <w:rFonts w:hint="eastAsia" w:ascii="仿宋_GB2312" w:eastAsia="仿宋_GB2312"/>
                <w:sz w:val="32"/>
              </w:rPr>
            </w:pPr>
            <w:bookmarkStart w:id="4" w:name="now"/>
            <w:r>
              <w:rPr>
                <w:rFonts w:hint="eastAsia" w:ascii="仿宋_GB2312" w:eastAsia="仿宋_GB2312"/>
                <w:sz w:val="32"/>
                <w:lang w:val="en-US" w:eastAsia="zh-CN"/>
              </w:rPr>
              <w:t>2022年5月17日</w:t>
            </w:r>
            <w:bookmarkEnd w:id="4"/>
            <w:r>
              <w:rPr>
                <w:rFonts w:hint="eastAsia" w:ascii="仿宋_GB2312" w:eastAsia="仿宋_GB2312"/>
                <w:sz w:val="32"/>
              </w:rPr>
              <w:t xml:space="preserve">   </w:t>
            </w: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dit="readOnly" w:enforcement="0"/>
  <w:defaultTabStop w:val="425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NzY5OTBiMGUxMjFhYzk0M2NiZWNiMjc4MTVlZjYifQ=="/>
  </w:docVars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0F810315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3C7901C1"/>
    <w:rsid w:val="447E3320"/>
    <w:rsid w:val="45CB5298"/>
    <w:rsid w:val="4AD24FF3"/>
    <w:rsid w:val="4B30475B"/>
    <w:rsid w:val="4CA33CB0"/>
    <w:rsid w:val="4D14258D"/>
    <w:rsid w:val="57073EC0"/>
    <w:rsid w:val="59C6063C"/>
    <w:rsid w:val="63E612D4"/>
    <w:rsid w:val="693053CC"/>
    <w:rsid w:val="6AB50BAB"/>
    <w:rsid w:val="6CA056C1"/>
    <w:rsid w:val="6D957ABF"/>
    <w:rsid w:val="7312333B"/>
    <w:rsid w:val="754F59C8"/>
    <w:rsid w:val="75561D3A"/>
    <w:rsid w:val="77192911"/>
    <w:rsid w:val="7952225A"/>
    <w:rsid w:val="7D174045"/>
    <w:rsid w:val="7D906DB7"/>
    <w:rsid w:val="7E674295"/>
    <w:rsid w:val="B7FF0E0B"/>
    <w:rsid w:val="FFFBF9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customStyle="1" w:styleId="12">
    <w:name w:val=" Char Char1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 Char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1950</Words>
  <Characters>2015</Characters>
  <Lines>16</Lines>
  <Paragraphs>4</Paragraphs>
  <TotalTime>5</TotalTime>
  <ScaleCrop>false</ScaleCrop>
  <LinksUpToDate>false</LinksUpToDate>
  <CharactersWithSpaces>2023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2021-04-07T03:49:00Z</dcterms:created>
  <dc:creator>wjc</dc:creator>
  <cp:lastModifiedBy>kylin</cp:lastModifiedBy>
  <dcterms:modified xsi:type="dcterms:W3CDTF">2022-06-29T17:36:40Z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E52E2662149346148C01A8C5CFB77AE8</vt:lpwstr>
  </property>
</Properties>
</file>