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8240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7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对市政协第十四届五次会议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第0185号提案的办理答复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ind w:right="105" w:rightChars="50"/>
              <w:rPr>
                <w:ins w:id="0" w:author="kylin" w:date="2022-06-29T17:37:00Z"/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bookmarkStart w:id="2" w:name="chenghu"/>
          </w:p>
          <w:p>
            <w:pPr>
              <w:spacing w:line="560" w:lineRule="exact"/>
              <w:ind w:right="105" w:rightChars="50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民建天津市委会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3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贵党派提出的关于加快推进我市建设国际航空物流中心的提案，经会同市发展改革委、市商务局、市财政局、市工业和信息化局、天津海关</w:t>
            </w:r>
            <w:r>
              <w:rPr>
                <w:rFonts w:hint="eastAsia" w:eastAsia="仿宋_GB2312" w:cs="Times New Roman"/>
                <w:sz w:val="32"/>
                <w:szCs w:val="18"/>
                <w:lang w:val="en-US" w:eastAsia="zh-CN"/>
              </w:rPr>
              <w:t>、市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邮政局、滨海新区、东丽区、</w:t>
            </w:r>
            <w:r>
              <w:rPr>
                <w:rFonts w:hint="eastAsia" w:eastAsia="仿宋_GB2312" w:cs="Times New Roman"/>
                <w:sz w:val="32"/>
                <w:szCs w:val="18"/>
                <w:lang w:val="en-US" w:eastAsia="zh-CN"/>
              </w:rPr>
              <w:t>天津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滨海机场研究答复如下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9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2021年，围绕国际航空物流中心功能定位，以推动《加快推进中国国际航空物流中心建设实施方案》印发为契机，市交通运输委会同市发展改革委、市财政局、市商务局、滨海新区政府、东丽区政府、天津港保税区管委会、天津海关、天津滨海机场等单位从航空物流发展规划、争取国家支持、改善基础设施和服务功能、航空物流产业发展、财政政策支持等全方位推进我市航空物流发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val="en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val="en" w:eastAsia="zh-CN"/>
              </w:rPr>
              <w:t>一、航空物流基本情况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2021年天津机场累计完成货邮吞吐量1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万吨，同比增长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%。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其中，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保障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国际临时货运包机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536班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，同比增长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80.6%；货量2.05万吨，同比增长125.3%；疫苗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包机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34班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2726.6万剂、货量564吨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  <w:t>现将主要工作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  <w:lang w:eastAsia="zh-CN"/>
              </w:rPr>
              <w:t>及存在问题等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32"/>
                <w:szCs w:val="32"/>
              </w:rPr>
              <w:t>情况报告如下：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</w:rPr>
              <w:t>、主要工作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</w:rPr>
              <w:t>（一）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加强顶层设计，强化物流规划</w:t>
            </w:r>
          </w:p>
          <w:p>
            <w:pPr>
              <w:numPr>
                <w:ilvl w:val="0"/>
                <w:numId w:val="0"/>
              </w:numPr>
              <w:spacing w:line="579" w:lineRule="exact"/>
              <w:ind w:firstLine="720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3月市政府办公厅印发《加快推进中国国际航空物流中心建设实施方案》（津政办发〔2021〕5号），拟从聚集航空物流资源要素、优化航空口岸服务环境、增强航空物流服务能力、丰富多式联运体系、提升航空物流通达能力、强化组织推动和政策保障等六个方面发力航空物流，并成立了分管副市长为召集人的联席会议制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（二）全力争取国家相关部委支持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79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2021年11月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市发展改革委牵头积极申请国家空港型物流枢纽并获得批复。市交通运输委协调民航局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2021年夏航季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恢复天津滨海机场高峰小时“31+1”架次，并给予3%的时刻增量，增量部分的10%用于全货机使用，允许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0：00-6：00货机时刻不计入航班时刻总量。民航局同意天津滨海机场2021年冬航季按照高峰小时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“31+1”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架次安排航班计划。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（三）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完善航空物流基础设施与服务功能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79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津滨海机场三期改扩建工程项目可研获得民航局和市政府联合批复。天津航空口岸大通关基地一期竣工，顺丰二期、三期项目竣工验收，中远空运北方总部等项目加快建设。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天津航空口岸大通关基地一期完成进口肉类、水果、冰鲜、水生物等指定监管场地建设，其中肉类、水果、冰鲜水产品、食用水生动物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个指定监管场地已通过海关总署验收。天津国际邮件互换局落户大通关基地一期，并于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2021年5月1日正式运行，2021年处理国际邮件300万余件。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东丽临空经济区积极推进物流总部区和科技创新区土地规划审批。同时，加快物流总部区和科技创新区基础设施建设开发，科技创新区重点完成专项债项目土地征拆手续，并做好土地出让、项目建设等前期准备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（四）大力发展航空物流产业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79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2021年，天津航空物流区物流业收入增量2.6亿元，引进沈氏物流集团网络货运平台项目、极兔快递华北分拨中心项目、甲申速递天津分公司等重点项目，新开发了京东集团航空物流港、京东跨境电商出口平台、跨境电商物流龙头企业甲申快递华北跨境物流基地、上海生生物流医药冷链分拨中心、大舜物流医药冷链分拨中心、万德隆物流医药保税分拨中心、大龙网跨境电商平台、中北航空航空货运项目等11个航空物流类项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eastAsia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（五）大力发展临空经济区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79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一是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积极推动临空经济区跨境电商产业发展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通过“两平台六体系，引进20余家跨境电商生态链企业入驻，入驻率达80%.2021年引进阿伯纳数宇电竞产业园，与亚马逊、Ebay．新蛋等平合及海外VAT、跨境物流等8家服务商达成战略合作，培育引进300余专业人才。二是着力推进基础设施项目开工。积板推进物流总部区和科技创新区规划审批和控规修编工作，科技创新区规划一报己完成，报待区政府联合市规划资源局报请市政府批复：物流总部区控规修编实施评估已获得市政府批复，已完成了修编草案公示、专家评审以及市区两级部门意见征询，正在开展规划成果的机构审查环节，待审查完成后由区政府联合市规划资源局报请市政府最终批复。科技创新区基础设施建设项目立项已完成，勘察、设计、监理完成招标手续，收地征拆工作已经启动。三是扎实做好产业项目储备工作。围绕高端智能制造产业，储备了中南高科一天津增材制造与高端智能制造产业基地项目；围绕航空航天产业，储备了联动口谷产业园项目；依托中国民航大学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优势，集聚发展航空科技研发、航空零部件生产、装制造等产业。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（六）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加快疏解北京非首都功能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jc w:val="both"/>
              <w:textAlignment w:val="auto"/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依托保税区临空优势和政策优势，吸引有关企业落户。2021年，天津国际邮件互换局落户天津航空口岸大通关基地，截至年底，处理国际进出口邮件300余万件，有效地疏解了北京国际邮政中转压力。天津中远海运空运总部迁入保税区，其北方物流基地开工，将通过完善货运、通关、仓储、加工等基础设施，提高对周边以及国际货源吸附能力，促进京津冀协同发展</w:t>
            </w:r>
            <w:r>
              <w:rPr>
                <w:rFonts w:hint="eastAsia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eastAsia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（</w:t>
            </w:r>
            <w:r>
              <w:rPr>
                <w:rFonts w:hint="eastAsia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七</w:t>
            </w:r>
            <w:r>
              <w:rPr>
                <w:rFonts w:hint="eastAsia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）提升空运口岸通关时放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持续推广宣传提前申报、两步申报等改革应用，全力提升通关速度。调整物流节点，前置报关单放行环节，压缩直航报关通关时间。强化与前序进境地海关联系沟通，持续压缩转关环节通关时间。试行“货不动人动”查验模式，减少货物运输、库区调拨等查验前准备时间。全面实施节假日免预约通关，常态化延时和周末通关，适时设立春耕物资、防疫物资等专办窗口，24小时助力企业物资快速通关。2021年天津空运口岸进出口整体通关时间持续压缩，实现“比2017年压缩一半”的工作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val="en-US" w:eastAsia="zh-CN"/>
              </w:rPr>
              <w:t>三、存在问题</w:t>
            </w:r>
          </w:p>
          <w:p>
            <w:pPr>
              <w:spacing w:line="579" w:lineRule="exact"/>
              <w:ind w:firstLine="642" w:firstLineChars="200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一是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受国际疫情持续和本土疫情多点扩散影响，国内外客货运航班恢复缓慢。国际客运方面，北京分流国际航班经常性熔断，其他国际航线增长缓慢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国内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客运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航班不定期削减且恢复缓慢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。正班货运、货运包机航班增长缓慢，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导致运量不足，天津滨海机场运输量与预期目标有差距。</w:t>
            </w:r>
          </w:p>
          <w:p>
            <w:pPr>
              <w:spacing w:line="579" w:lineRule="exact"/>
              <w:ind w:firstLine="642" w:firstLineChars="200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二是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受财政紧张状况影响，我市支持航空物流发展政策迟迟未能出台，而江西、河北、北京等多地陆续出台支持民航发展政策，在津运营的航空物流企业经营压力较大，部分货运航线航班已被分流至有财政补贴的机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0" w:firstLineChars="200"/>
              <w:jc w:val="both"/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  <w:t>四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</w:rPr>
              <w:t>、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val="en-US" w:eastAsia="zh-CN"/>
              </w:rPr>
              <w:t>下一步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</w:rPr>
              <w:t>工作计划</w:t>
            </w:r>
          </w:p>
          <w:p>
            <w:pPr>
              <w:spacing w:line="579" w:lineRule="exact"/>
              <w:ind w:firstLine="640" w:firstLineChars="200"/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在下一步的工作中，我们完全采纳</w:t>
            </w: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民建天津市委会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提出的意见建议，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  <w:lang w:eastAsia="zh-CN"/>
              </w:rPr>
              <w:t>重点做好以下工作：</w:t>
            </w:r>
          </w:p>
          <w:p>
            <w:pPr>
              <w:spacing w:line="579" w:lineRule="exact"/>
              <w:ind w:firstLine="642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一是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推动天津滨海机场与首都机场、大兴机场错位发展。视疫情发展，推动天津滨海机场国内外货运航线航班恢复。支持开通首都机场、大兴机场尚未开通的二三四线城市、东西部协作及对口支援航线航班。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2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</w:rPr>
              <w:t>二是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贯彻落实《加快推动中国国际航空物流中心建设实施方案》（津政办发〔2021〕5号）相关工作，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完善客货运航线网络，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提振航空物流企业在津发展信心。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642" w:firstLineChars="200"/>
              <w:jc w:val="both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lang w:eastAsia="zh-CN"/>
              </w:rPr>
              <w:t>三是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与首都机场集团、民航管理部门建立日常沟通协调机制，在全货机运力投放、新开航线航班、时刻资源、货运包机运输等方面争取支持。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积极推动落实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2021年5月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与民航华北地区管理局联合印发</w:t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《推动天津民航发展战略合作协议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>2021年工作要点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》</w:t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相关工作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，并</w:t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推动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新一轮《中国民用航空局天津市人民政府战略合作框架协议》签署工作。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br w:type="textWrapping"/>
            </w:r>
            <w:r>
              <w:rPr>
                <w:rFonts w:hint="eastAsia" w:eastAsia="仿宋_GB2312" w:cs="Times New Roman"/>
                <w:b w:val="0"/>
                <w:bCs w:val="0"/>
                <w:color w:val="auto"/>
                <w:sz w:val="32"/>
                <w:szCs w:val="32"/>
                <w:lang w:val="en-US" w:eastAsia="zh-CN"/>
              </w:rPr>
              <w:t xml:space="preserve">    感谢贵党派长期以来对我市交通运输工作的关心与支持！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4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2022年5月10日</w:t>
            </w:r>
            <w:bookmarkEnd w:id="4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dit="readOnly" w:enforcement="0"/>
  <w:defaultTabStop w:val="425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7FA5797"/>
    <w:rsid w:val="0F415A30"/>
    <w:rsid w:val="1A1A2EA1"/>
    <w:rsid w:val="1BE3569F"/>
    <w:rsid w:val="1BF6E022"/>
    <w:rsid w:val="20FE4F37"/>
    <w:rsid w:val="22666FCA"/>
    <w:rsid w:val="23957D52"/>
    <w:rsid w:val="23CF1A55"/>
    <w:rsid w:val="265833FB"/>
    <w:rsid w:val="2A106D0B"/>
    <w:rsid w:val="2DCA2874"/>
    <w:rsid w:val="3776239E"/>
    <w:rsid w:val="377A2E5E"/>
    <w:rsid w:val="385C0DBD"/>
    <w:rsid w:val="3A57702C"/>
    <w:rsid w:val="3EDD652A"/>
    <w:rsid w:val="447E3320"/>
    <w:rsid w:val="447FC549"/>
    <w:rsid w:val="45CB5298"/>
    <w:rsid w:val="4B30475B"/>
    <w:rsid w:val="4CA33CB0"/>
    <w:rsid w:val="4D14258D"/>
    <w:rsid w:val="55BA3FD3"/>
    <w:rsid w:val="57073EC0"/>
    <w:rsid w:val="573F5EB5"/>
    <w:rsid w:val="59C6063C"/>
    <w:rsid w:val="5BDFFDB7"/>
    <w:rsid w:val="63E612D4"/>
    <w:rsid w:val="673B1C5C"/>
    <w:rsid w:val="693053CC"/>
    <w:rsid w:val="6AB50BAB"/>
    <w:rsid w:val="6CA056C1"/>
    <w:rsid w:val="6D957ABF"/>
    <w:rsid w:val="6DFF1715"/>
    <w:rsid w:val="6EE29CB7"/>
    <w:rsid w:val="6FFDDCDD"/>
    <w:rsid w:val="6FFEDEA1"/>
    <w:rsid w:val="7312333B"/>
    <w:rsid w:val="75561D3A"/>
    <w:rsid w:val="76FFDACE"/>
    <w:rsid w:val="7952225A"/>
    <w:rsid w:val="7D174045"/>
    <w:rsid w:val="7D906DB7"/>
    <w:rsid w:val="7DBF9CB2"/>
    <w:rsid w:val="7E674295"/>
    <w:rsid w:val="7FFC47AC"/>
    <w:rsid w:val="9A7A8F10"/>
    <w:rsid w:val="B76FFA0F"/>
    <w:rsid w:val="DEF3CA21"/>
    <w:rsid w:val="F35F462E"/>
    <w:rsid w:val="F93DFCFC"/>
    <w:rsid w:val="FB5AF0D7"/>
    <w:rsid w:val="FBBF39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文字 + 首行缩进:  2 字符3"/>
    <w:basedOn w:val="1"/>
    <w:qFormat/>
    <w:uiPriority w:val="99"/>
    <w:pPr>
      <w:spacing w:line="360" w:lineRule="auto"/>
      <w:jc w:val="left"/>
    </w:pPr>
    <w:rPr>
      <w:sz w:val="28"/>
      <w:szCs w:val="28"/>
    </w:rPr>
  </w:style>
  <w:style w:type="paragraph" w:styleId="3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4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 Char Char1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 Char Char"/>
    <w:basedOn w:val="9"/>
    <w:link w:val="5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5</TotalTime>
  <ScaleCrop>false</ScaleCrop>
  <LinksUpToDate>false</LinksUpToDate>
  <CharactersWithSpaces>2285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2021-04-10T03:49:00Z</dcterms:created>
  <dc:creator>wjc</dc:creator>
  <cp:lastModifiedBy>kylin</cp:lastModifiedBy>
  <cp:lastPrinted>2022-05-12T09:43:00Z</cp:lastPrinted>
  <dcterms:modified xsi:type="dcterms:W3CDTF">2022-06-29T17:37:12Z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