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426"/>
          <w:tab w:val="left" w:pos="8931"/>
        </w:tabs>
        <w:ind w:right="-29" w:rightChars="-14"/>
        <w:rPr>
          <w:rFonts w:ascii="黑体" w:eastAsia="黑体"/>
        </w:rPr>
      </w:pPr>
    </w:p>
    <w:p>
      <w:pPr>
        <w:jc w:val="center"/>
        <w:rPr>
          <w:rFonts w:ascii="方正小标宋简体" w:eastAsia="方正小标宋简体"/>
          <w:sz w:val="44"/>
          <w:szCs w:val="44"/>
        </w:rPr>
      </w:pPr>
      <w:r>
        <w:rPr>
          <w:rFonts w:hint="eastAsia" w:ascii="方正小标宋简体" w:eastAsia="方正小标宋简体"/>
          <w:sz w:val="44"/>
          <w:szCs w:val="44"/>
        </w:rPr>
        <w:t>子牙河航道维护尺度信息</w:t>
      </w:r>
    </w:p>
    <w:p>
      <w:pPr>
        <w:jc w:val="center"/>
        <w:rPr>
          <w:rFonts w:ascii="方正小标宋简体" w:eastAsia="方正小标宋简体"/>
          <w:sz w:val="44"/>
          <w:szCs w:val="44"/>
        </w:rPr>
      </w:pPr>
    </w:p>
    <w:tbl>
      <w:tblPr>
        <w:tblStyle w:val="7"/>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78"/>
        <w:gridCol w:w="1101"/>
        <w:gridCol w:w="1417"/>
        <w:gridCol w:w="1510"/>
        <w:gridCol w:w="1023"/>
        <w:gridCol w:w="955"/>
        <w:gridCol w:w="955"/>
        <w:gridCol w:w="1065"/>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478" w:type="dxa"/>
            <w:vMerge w:val="restart"/>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序号</w:t>
            </w:r>
          </w:p>
        </w:tc>
        <w:tc>
          <w:tcPr>
            <w:tcW w:w="1101" w:type="dxa"/>
            <w:vMerge w:val="restart"/>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航道名称</w:t>
            </w:r>
          </w:p>
        </w:tc>
        <w:tc>
          <w:tcPr>
            <w:tcW w:w="1417" w:type="dxa"/>
            <w:vMerge w:val="restart"/>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航道起点名称</w:t>
            </w:r>
          </w:p>
        </w:tc>
        <w:tc>
          <w:tcPr>
            <w:tcW w:w="1510" w:type="dxa"/>
            <w:vMerge w:val="restart"/>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航道终点名称</w:t>
            </w:r>
          </w:p>
        </w:tc>
        <w:tc>
          <w:tcPr>
            <w:tcW w:w="1023" w:type="dxa"/>
            <w:vMerge w:val="restart"/>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航道长度</w:t>
            </w:r>
            <w:r>
              <w:rPr>
                <w:rFonts w:asciiTheme="minorEastAsia" w:hAnsiTheme="minorEastAsia"/>
                <w:bCs/>
                <w:color w:val="000000"/>
                <w:szCs w:val="21"/>
              </w:rPr>
              <w:t>(</w:t>
            </w:r>
            <w:r>
              <w:rPr>
                <w:rFonts w:hint="eastAsia" w:cs="宋体" w:asciiTheme="minorEastAsia" w:hAnsiTheme="minorEastAsia"/>
                <w:bCs/>
                <w:color w:val="000000"/>
                <w:szCs w:val="21"/>
              </w:rPr>
              <w:t>km</w:t>
            </w:r>
            <w:r>
              <w:rPr>
                <w:rFonts w:asciiTheme="minorEastAsia" w:hAnsiTheme="minorEastAsia"/>
                <w:bCs/>
                <w:color w:val="000000"/>
                <w:szCs w:val="21"/>
              </w:rPr>
              <w:t>)</w:t>
            </w:r>
          </w:p>
        </w:tc>
        <w:tc>
          <w:tcPr>
            <w:tcW w:w="955" w:type="dxa"/>
            <w:vMerge w:val="restart"/>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航道等级</w:t>
            </w:r>
          </w:p>
        </w:tc>
        <w:tc>
          <w:tcPr>
            <w:tcW w:w="2994" w:type="dxa"/>
            <w:gridSpan w:val="3"/>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航道维护尺度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478" w:type="dxa"/>
            <w:vMerge w:val="continue"/>
            <w:vAlign w:val="center"/>
          </w:tcPr>
          <w:p>
            <w:pPr>
              <w:widowControl/>
              <w:jc w:val="center"/>
              <w:rPr>
                <w:rFonts w:cs="宋体" w:asciiTheme="minorEastAsia" w:hAnsiTheme="minorEastAsia"/>
                <w:bCs/>
                <w:color w:val="000000"/>
                <w:szCs w:val="21"/>
              </w:rPr>
            </w:pPr>
          </w:p>
        </w:tc>
        <w:tc>
          <w:tcPr>
            <w:tcW w:w="1101" w:type="dxa"/>
            <w:vMerge w:val="continue"/>
            <w:vAlign w:val="center"/>
          </w:tcPr>
          <w:p>
            <w:pPr>
              <w:widowControl/>
              <w:jc w:val="center"/>
              <w:rPr>
                <w:rFonts w:cs="宋体" w:asciiTheme="minorEastAsia" w:hAnsiTheme="minorEastAsia"/>
                <w:bCs/>
                <w:color w:val="000000"/>
                <w:szCs w:val="21"/>
              </w:rPr>
            </w:pPr>
          </w:p>
        </w:tc>
        <w:tc>
          <w:tcPr>
            <w:tcW w:w="1417" w:type="dxa"/>
            <w:vMerge w:val="continue"/>
            <w:vAlign w:val="center"/>
          </w:tcPr>
          <w:p>
            <w:pPr>
              <w:widowControl/>
              <w:jc w:val="center"/>
              <w:rPr>
                <w:rFonts w:cs="宋体" w:asciiTheme="minorEastAsia" w:hAnsiTheme="minorEastAsia"/>
                <w:bCs/>
                <w:color w:val="000000"/>
                <w:szCs w:val="21"/>
              </w:rPr>
            </w:pPr>
          </w:p>
        </w:tc>
        <w:tc>
          <w:tcPr>
            <w:tcW w:w="1510" w:type="dxa"/>
            <w:vMerge w:val="continue"/>
            <w:vAlign w:val="center"/>
          </w:tcPr>
          <w:p>
            <w:pPr>
              <w:widowControl/>
              <w:jc w:val="center"/>
              <w:rPr>
                <w:rFonts w:cs="宋体" w:asciiTheme="minorEastAsia" w:hAnsiTheme="minorEastAsia"/>
                <w:bCs/>
                <w:color w:val="000000"/>
                <w:szCs w:val="21"/>
              </w:rPr>
            </w:pPr>
          </w:p>
        </w:tc>
        <w:tc>
          <w:tcPr>
            <w:tcW w:w="1023" w:type="dxa"/>
            <w:vMerge w:val="continue"/>
            <w:vAlign w:val="center"/>
          </w:tcPr>
          <w:p>
            <w:pPr>
              <w:widowControl/>
              <w:jc w:val="center"/>
              <w:rPr>
                <w:rFonts w:cs="宋体" w:asciiTheme="minorEastAsia" w:hAnsiTheme="minorEastAsia"/>
                <w:bCs/>
                <w:color w:val="000000"/>
                <w:szCs w:val="21"/>
              </w:rPr>
            </w:pPr>
          </w:p>
        </w:tc>
        <w:tc>
          <w:tcPr>
            <w:tcW w:w="955" w:type="dxa"/>
            <w:vMerge w:val="continue"/>
            <w:vAlign w:val="center"/>
          </w:tcPr>
          <w:p>
            <w:pPr>
              <w:widowControl/>
              <w:jc w:val="center"/>
              <w:rPr>
                <w:rFonts w:cs="宋体" w:asciiTheme="minorEastAsia" w:hAnsiTheme="minorEastAsia"/>
                <w:bCs/>
                <w:color w:val="000000"/>
                <w:szCs w:val="21"/>
              </w:rPr>
            </w:pPr>
          </w:p>
        </w:tc>
        <w:tc>
          <w:tcPr>
            <w:tcW w:w="955" w:type="dxa"/>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航道水深（</w:t>
            </w:r>
            <w:r>
              <w:rPr>
                <w:rFonts w:asciiTheme="minorEastAsia" w:hAnsiTheme="minorEastAsia"/>
                <w:bCs/>
                <w:color w:val="000000"/>
                <w:szCs w:val="21"/>
              </w:rPr>
              <w:t>m</w:t>
            </w:r>
            <w:r>
              <w:rPr>
                <w:rFonts w:hint="eastAsia" w:cs="宋体" w:asciiTheme="minorEastAsia" w:hAnsiTheme="minorEastAsia"/>
                <w:bCs/>
                <w:color w:val="000000"/>
                <w:szCs w:val="21"/>
              </w:rPr>
              <w:t>）</w:t>
            </w:r>
          </w:p>
        </w:tc>
        <w:tc>
          <w:tcPr>
            <w:tcW w:w="1065" w:type="dxa"/>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航道宽度（</w:t>
            </w:r>
            <w:r>
              <w:rPr>
                <w:rFonts w:asciiTheme="minorEastAsia" w:hAnsiTheme="minorEastAsia"/>
                <w:bCs/>
                <w:color w:val="000000"/>
                <w:szCs w:val="21"/>
              </w:rPr>
              <w:t>m</w:t>
            </w:r>
            <w:r>
              <w:rPr>
                <w:rFonts w:hint="eastAsia" w:cs="宋体" w:asciiTheme="minorEastAsia" w:hAnsiTheme="minorEastAsia"/>
                <w:bCs/>
                <w:color w:val="000000"/>
                <w:szCs w:val="21"/>
              </w:rPr>
              <w:t>）</w:t>
            </w:r>
          </w:p>
        </w:tc>
        <w:tc>
          <w:tcPr>
            <w:tcW w:w="974" w:type="dxa"/>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航道弯曲半径（</w:t>
            </w:r>
            <w:r>
              <w:rPr>
                <w:rFonts w:asciiTheme="minorEastAsia" w:hAnsiTheme="minorEastAsia"/>
                <w:bCs/>
                <w:color w:val="000000"/>
                <w:szCs w:val="21"/>
              </w:rPr>
              <w:t>m</w:t>
            </w:r>
            <w:r>
              <w:rPr>
                <w:rFonts w:hint="eastAsia" w:cs="宋体" w:asciiTheme="minorEastAsia" w:hAnsiTheme="minorEastAsia"/>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5" w:hRule="atLeast"/>
          <w:jc w:val="center"/>
        </w:trPr>
        <w:tc>
          <w:tcPr>
            <w:tcW w:w="478" w:type="dxa"/>
            <w:vAlign w:val="center"/>
          </w:tcPr>
          <w:p>
            <w:pPr>
              <w:widowControl/>
              <w:jc w:val="center"/>
              <w:rPr>
                <w:rFonts w:asciiTheme="minorEastAsia" w:hAnsiTheme="minorEastAsia"/>
                <w:bCs/>
                <w:color w:val="000000"/>
                <w:szCs w:val="21"/>
              </w:rPr>
            </w:pPr>
            <w:r>
              <w:rPr>
                <w:rFonts w:hint="eastAsia" w:cs="宋体" w:asciiTheme="minorEastAsia" w:hAnsiTheme="minorEastAsia"/>
                <w:szCs w:val="21"/>
              </w:rPr>
              <w:t>1</w:t>
            </w:r>
          </w:p>
        </w:tc>
        <w:tc>
          <w:tcPr>
            <w:tcW w:w="1101" w:type="dxa"/>
            <w:vAlign w:val="center"/>
          </w:tcPr>
          <w:p>
            <w:pPr>
              <w:widowControl/>
              <w:jc w:val="center"/>
              <w:rPr>
                <w:rFonts w:cs="宋体" w:asciiTheme="minorEastAsia" w:hAnsiTheme="minorEastAsia"/>
                <w:bCs/>
                <w:color w:val="000000"/>
                <w:szCs w:val="21"/>
              </w:rPr>
            </w:pPr>
            <w:r>
              <w:rPr>
                <w:rFonts w:hint="eastAsia" w:cs="宋体" w:asciiTheme="minorEastAsia" w:hAnsiTheme="minorEastAsia"/>
                <w:bCs/>
                <w:color w:val="000000"/>
                <w:szCs w:val="21"/>
              </w:rPr>
              <w:t>子牙河</w:t>
            </w:r>
          </w:p>
        </w:tc>
        <w:tc>
          <w:tcPr>
            <w:tcW w:w="1417" w:type="dxa"/>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天河桥</w:t>
            </w:r>
          </w:p>
        </w:tc>
        <w:tc>
          <w:tcPr>
            <w:tcW w:w="1510" w:type="dxa"/>
            <w:vAlign w:val="center"/>
          </w:tcPr>
          <w:p>
            <w:pPr>
              <w:widowControl/>
              <w:jc w:val="center"/>
              <w:rPr>
                <w:rFonts w:cs="宋体" w:asciiTheme="minorEastAsia" w:hAnsiTheme="minorEastAsia"/>
                <w:color w:val="000000"/>
                <w:szCs w:val="21"/>
              </w:rPr>
            </w:pPr>
            <w:r>
              <w:rPr>
                <w:rFonts w:hint="eastAsia" w:cs="宋体" w:asciiTheme="minorEastAsia" w:hAnsiTheme="minorEastAsia"/>
                <w:color w:val="000000"/>
                <w:szCs w:val="21"/>
              </w:rPr>
              <w:t>子北汇流口</w:t>
            </w:r>
          </w:p>
        </w:tc>
        <w:tc>
          <w:tcPr>
            <w:tcW w:w="1023" w:type="dxa"/>
            <w:vAlign w:val="center"/>
          </w:tcPr>
          <w:p>
            <w:pPr>
              <w:jc w:val="center"/>
              <w:rPr>
                <w:rFonts w:hint="eastAsia" w:asciiTheme="minorEastAsia" w:hAnsiTheme="minorEastAsia"/>
                <w:color w:val="000000"/>
                <w:szCs w:val="21"/>
              </w:rPr>
            </w:pPr>
            <w:r>
              <w:rPr>
                <w:rFonts w:hint="default" w:ascii="Times New Roman" w:hAnsi="Times New Roman" w:cs="Times New Roman"/>
                <w:color w:val="000000"/>
                <w:szCs w:val="21"/>
              </w:rPr>
              <w:t>4.550</w:t>
            </w:r>
          </w:p>
        </w:tc>
        <w:tc>
          <w:tcPr>
            <w:tcW w:w="955" w:type="dxa"/>
            <w:vAlign w:val="center"/>
          </w:tcPr>
          <w:p>
            <w:pPr>
              <w:jc w:val="center"/>
              <w:rPr>
                <w:rFonts w:asciiTheme="minorEastAsia" w:hAnsiTheme="minorEastAsia"/>
                <w:bCs/>
                <w:color w:val="000000"/>
                <w:szCs w:val="21"/>
              </w:rPr>
            </w:pPr>
            <w:r>
              <w:rPr>
                <w:rFonts w:hint="eastAsia" w:asciiTheme="minorEastAsia" w:hAnsiTheme="minorEastAsia"/>
                <w:bCs/>
                <w:color w:val="000000"/>
                <w:szCs w:val="21"/>
              </w:rPr>
              <w:t>内河VI级</w:t>
            </w:r>
          </w:p>
        </w:tc>
        <w:tc>
          <w:tcPr>
            <w:tcW w:w="955" w:type="dxa"/>
            <w:vAlign w:val="center"/>
          </w:tcPr>
          <w:p>
            <w:pPr>
              <w:widowControl/>
              <w:jc w:val="center"/>
              <w:rPr>
                <w:rFonts w:hint="default" w:ascii="Times New Roman" w:hAnsi="Times New Roman" w:cs="Times New Roman" w:eastAsiaTheme="minorEastAsia"/>
                <w:bCs/>
                <w:color w:val="000000"/>
                <w:szCs w:val="21"/>
                <w:lang w:eastAsia="zh-CN"/>
              </w:rPr>
            </w:pPr>
            <w:r>
              <w:rPr>
                <w:rFonts w:hint="default" w:ascii="Times New Roman" w:hAnsi="Times New Roman" w:cs="Times New Roman"/>
                <w:bCs/>
                <w:color w:val="000000"/>
                <w:szCs w:val="21"/>
              </w:rPr>
              <w:t>1.</w:t>
            </w:r>
            <w:r>
              <w:rPr>
                <w:rFonts w:hint="default" w:ascii="Times New Roman" w:hAnsi="Times New Roman" w:cs="Times New Roman"/>
                <w:bCs/>
                <w:color w:val="000000"/>
                <w:szCs w:val="21"/>
                <w:lang w:val="en-US" w:eastAsia="zh-CN"/>
              </w:rPr>
              <w:t>5</w:t>
            </w:r>
          </w:p>
        </w:tc>
        <w:tc>
          <w:tcPr>
            <w:tcW w:w="1065" w:type="dxa"/>
            <w:vAlign w:val="center"/>
          </w:tcPr>
          <w:p>
            <w:pPr>
              <w:widowControl/>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37</w:t>
            </w:r>
          </w:p>
        </w:tc>
        <w:tc>
          <w:tcPr>
            <w:tcW w:w="974" w:type="dxa"/>
            <w:vAlign w:val="center"/>
          </w:tcPr>
          <w:p>
            <w:pPr>
              <w:widowControl/>
              <w:jc w:val="center"/>
              <w:rPr>
                <w:rFonts w:hint="default" w:ascii="Times New Roman" w:hAnsi="Times New Roman" w:cs="Times New Roman"/>
                <w:bCs/>
                <w:color w:val="000000"/>
                <w:szCs w:val="21"/>
              </w:rPr>
            </w:pPr>
            <w:r>
              <w:rPr>
                <w:rFonts w:hint="default" w:ascii="Times New Roman" w:hAnsi="Times New Roman" w:cs="Times New Roman"/>
                <w:bCs/>
                <w:color w:val="000000"/>
                <w:szCs w:val="21"/>
              </w:rPr>
              <w:t>180</w:t>
            </w:r>
          </w:p>
        </w:tc>
      </w:tr>
    </w:tbl>
    <w:p>
      <w:pPr>
        <w:tabs>
          <w:tab w:val="left" w:pos="7426"/>
          <w:tab w:val="left" w:pos="8931"/>
        </w:tabs>
        <w:autoSpaceDE w:val="0"/>
        <w:autoSpaceDN w:val="0"/>
        <w:ind w:right="-29" w:rightChars="-14"/>
        <w:rPr>
          <w:rFonts w:eastAsia="宋体"/>
          <w:kern w:val="0"/>
          <w:sz w:val="22"/>
        </w:rPr>
      </w:pPr>
      <w:r>
        <w:rPr>
          <w:rFonts w:hint="eastAsia" w:eastAsia="宋体"/>
          <w:kern w:val="0"/>
          <w:sz w:val="22"/>
        </w:rPr>
        <w:t>注：</w:t>
      </w:r>
    </w:p>
    <w:p>
      <w:pPr>
        <w:tabs>
          <w:tab w:val="left" w:pos="7426"/>
          <w:tab w:val="left" w:pos="8931"/>
        </w:tabs>
        <w:autoSpaceDE w:val="0"/>
        <w:autoSpaceDN w:val="0"/>
        <w:ind w:right="-29" w:rightChars="-14"/>
        <w:rPr>
          <w:rFonts w:eastAsia="宋体"/>
          <w:kern w:val="0"/>
          <w:sz w:val="22"/>
        </w:rPr>
      </w:pPr>
      <w:r>
        <w:rPr>
          <w:rFonts w:hint="eastAsia" w:eastAsia="宋体"/>
          <w:kern w:val="0"/>
          <w:sz w:val="22"/>
        </w:rPr>
        <w:t>（1）天河桥至子北汇流口段航道，在大红桥为单线航道，宽</w:t>
      </w:r>
      <w:r>
        <w:rPr>
          <w:rFonts w:hint="default" w:ascii="Times New Roman" w:hAnsi="Times New Roman" w:eastAsia="宋体" w:cs="Times New Roman"/>
          <w:kern w:val="0"/>
          <w:sz w:val="22"/>
        </w:rPr>
        <w:t>21</w:t>
      </w:r>
      <w:bookmarkStart w:id="0" w:name="_GoBack"/>
      <w:bookmarkEnd w:id="0"/>
      <w:r>
        <w:rPr>
          <w:rFonts w:hint="eastAsia" w:eastAsia="宋体"/>
          <w:kern w:val="0"/>
          <w:sz w:val="22"/>
        </w:rPr>
        <w:t>m；</w:t>
      </w:r>
    </w:p>
    <w:p>
      <w:pPr>
        <w:tabs>
          <w:tab w:val="left" w:pos="7426"/>
          <w:tab w:val="left" w:pos="8931"/>
        </w:tabs>
        <w:autoSpaceDE w:val="0"/>
        <w:autoSpaceDN w:val="0"/>
        <w:ind w:right="-29" w:rightChars="-14"/>
        <w:rPr>
          <w:rFonts w:eastAsia="宋体"/>
          <w:kern w:val="0"/>
          <w:sz w:val="22"/>
        </w:rPr>
      </w:pPr>
      <w:r>
        <w:rPr>
          <w:rFonts w:hint="eastAsia" w:eastAsia="宋体"/>
          <w:kern w:val="0"/>
          <w:sz w:val="22"/>
        </w:rPr>
        <w:t>（2）上述单线航道与双线航道之间的过渡段长度根据《天津市港航管理局关于公布天津市内河通航航道桥区水域范围的通告》中的桥区水域范围确定；</w:t>
      </w:r>
    </w:p>
    <w:p>
      <w:pPr>
        <w:tabs>
          <w:tab w:val="left" w:pos="7426"/>
          <w:tab w:val="left" w:pos="8931"/>
        </w:tabs>
        <w:autoSpaceDE w:val="0"/>
        <w:autoSpaceDN w:val="0"/>
        <w:ind w:right="-29" w:rightChars="-14"/>
        <w:rPr>
          <w:rFonts w:hint="eastAsia" w:eastAsia="宋体"/>
          <w:kern w:val="0"/>
          <w:sz w:val="22"/>
        </w:rPr>
      </w:pPr>
      <w:r>
        <w:rPr>
          <w:rFonts w:hint="eastAsia" w:eastAsia="宋体"/>
          <w:kern w:val="0"/>
          <w:sz w:val="22"/>
        </w:rPr>
        <w:t>（3）</w:t>
      </w:r>
      <w:r>
        <w:rPr>
          <w:rFonts w:eastAsia="宋体"/>
          <w:kern w:val="0"/>
          <w:sz w:val="22"/>
        </w:rPr>
        <w:t>表中航道尺度为设计最低通航水位标准下航道维护尺度，不同时间会因水位的变化而变化，本通告公布的航段航道维护尺度仅供船舶航行参考。</w:t>
      </w:r>
    </w:p>
    <w:p>
      <w:pPr>
        <w:tabs>
          <w:tab w:val="left" w:pos="7426"/>
          <w:tab w:val="left" w:pos="8931"/>
        </w:tabs>
        <w:ind w:right="-29" w:rightChars="-14"/>
        <w:rPr>
          <w:rFonts w:ascii="黑体" w:eastAsia="黑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汉鼎简大宋">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4C"/>
    <w:rsid w:val="00017844"/>
    <w:rsid w:val="00057D7B"/>
    <w:rsid w:val="00081E99"/>
    <w:rsid w:val="000E4F36"/>
    <w:rsid w:val="001328AC"/>
    <w:rsid w:val="00174D33"/>
    <w:rsid w:val="001A4DA6"/>
    <w:rsid w:val="001D2E2F"/>
    <w:rsid w:val="002025EF"/>
    <w:rsid w:val="002174EB"/>
    <w:rsid w:val="0023639A"/>
    <w:rsid w:val="002546C5"/>
    <w:rsid w:val="00263781"/>
    <w:rsid w:val="002711A0"/>
    <w:rsid w:val="00292ADD"/>
    <w:rsid w:val="002B6B73"/>
    <w:rsid w:val="002B7D76"/>
    <w:rsid w:val="002D08AA"/>
    <w:rsid w:val="002D3295"/>
    <w:rsid w:val="002E459D"/>
    <w:rsid w:val="002F0EBF"/>
    <w:rsid w:val="002F17B6"/>
    <w:rsid w:val="0030099A"/>
    <w:rsid w:val="00306D11"/>
    <w:rsid w:val="00311F05"/>
    <w:rsid w:val="003139FA"/>
    <w:rsid w:val="00331D89"/>
    <w:rsid w:val="003435AE"/>
    <w:rsid w:val="0035074C"/>
    <w:rsid w:val="003C2E40"/>
    <w:rsid w:val="003C7A80"/>
    <w:rsid w:val="003F6B0B"/>
    <w:rsid w:val="00432D76"/>
    <w:rsid w:val="00461EC3"/>
    <w:rsid w:val="00462E55"/>
    <w:rsid w:val="00466F66"/>
    <w:rsid w:val="004721B1"/>
    <w:rsid w:val="004762C9"/>
    <w:rsid w:val="004F0F74"/>
    <w:rsid w:val="004F7A3A"/>
    <w:rsid w:val="0058013B"/>
    <w:rsid w:val="00583F3F"/>
    <w:rsid w:val="005A1671"/>
    <w:rsid w:val="005C4B6E"/>
    <w:rsid w:val="005C4C07"/>
    <w:rsid w:val="005C6DF9"/>
    <w:rsid w:val="00607E97"/>
    <w:rsid w:val="00644660"/>
    <w:rsid w:val="00657905"/>
    <w:rsid w:val="00670480"/>
    <w:rsid w:val="00675EC5"/>
    <w:rsid w:val="006F199F"/>
    <w:rsid w:val="006F220C"/>
    <w:rsid w:val="00720C50"/>
    <w:rsid w:val="00721A81"/>
    <w:rsid w:val="00736C2F"/>
    <w:rsid w:val="007C2B43"/>
    <w:rsid w:val="007D0A7B"/>
    <w:rsid w:val="007E2D44"/>
    <w:rsid w:val="008076B6"/>
    <w:rsid w:val="00821EC7"/>
    <w:rsid w:val="00823B50"/>
    <w:rsid w:val="00824CE8"/>
    <w:rsid w:val="00841DCB"/>
    <w:rsid w:val="00841FB2"/>
    <w:rsid w:val="00846106"/>
    <w:rsid w:val="00893EA1"/>
    <w:rsid w:val="008B4141"/>
    <w:rsid w:val="008D2E47"/>
    <w:rsid w:val="008D471A"/>
    <w:rsid w:val="008F01C4"/>
    <w:rsid w:val="009067B8"/>
    <w:rsid w:val="00922670"/>
    <w:rsid w:val="009235CF"/>
    <w:rsid w:val="00932F77"/>
    <w:rsid w:val="0093547B"/>
    <w:rsid w:val="00960FA3"/>
    <w:rsid w:val="00986296"/>
    <w:rsid w:val="00995486"/>
    <w:rsid w:val="009C4460"/>
    <w:rsid w:val="00A02A1F"/>
    <w:rsid w:val="00A10263"/>
    <w:rsid w:val="00A45110"/>
    <w:rsid w:val="00A7462C"/>
    <w:rsid w:val="00A776A5"/>
    <w:rsid w:val="00A80F3D"/>
    <w:rsid w:val="00A85D9A"/>
    <w:rsid w:val="00AC7A0F"/>
    <w:rsid w:val="00AE2FCF"/>
    <w:rsid w:val="00B14115"/>
    <w:rsid w:val="00B51755"/>
    <w:rsid w:val="00B54878"/>
    <w:rsid w:val="00B9738C"/>
    <w:rsid w:val="00B97EE0"/>
    <w:rsid w:val="00BA06D8"/>
    <w:rsid w:val="00BA13CE"/>
    <w:rsid w:val="00BD0D4B"/>
    <w:rsid w:val="00BE2181"/>
    <w:rsid w:val="00C04990"/>
    <w:rsid w:val="00C055B3"/>
    <w:rsid w:val="00CB234C"/>
    <w:rsid w:val="00CB2806"/>
    <w:rsid w:val="00CB7D9E"/>
    <w:rsid w:val="00CE48B2"/>
    <w:rsid w:val="00D12CC5"/>
    <w:rsid w:val="00D17400"/>
    <w:rsid w:val="00D30545"/>
    <w:rsid w:val="00D330BE"/>
    <w:rsid w:val="00D66239"/>
    <w:rsid w:val="00D75601"/>
    <w:rsid w:val="00D87577"/>
    <w:rsid w:val="00D95F11"/>
    <w:rsid w:val="00DA155A"/>
    <w:rsid w:val="00E17870"/>
    <w:rsid w:val="00E346DF"/>
    <w:rsid w:val="00E47370"/>
    <w:rsid w:val="00E51940"/>
    <w:rsid w:val="00E554FD"/>
    <w:rsid w:val="00E653B1"/>
    <w:rsid w:val="00E74523"/>
    <w:rsid w:val="00E8226A"/>
    <w:rsid w:val="00EC045D"/>
    <w:rsid w:val="00F01DF1"/>
    <w:rsid w:val="00F06912"/>
    <w:rsid w:val="00F12375"/>
    <w:rsid w:val="00F604BF"/>
    <w:rsid w:val="00F63E4E"/>
    <w:rsid w:val="00F7542D"/>
    <w:rsid w:val="F772C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autoSpaceDE w:val="0"/>
      <w:autoSpaceDN w:val="0"/>
      <w:snapToGrid w:val="0"/>
      <w:spacing w:before="340" w:after="330" w:line="578" w:lineRule="atLeast"/>
      <w:ind w:firstLine="624"/>
      <w:outlineLvl w:val="0"/>
    </w:pPr>
    <w:rPr>
      <w:rFonts w:ascii="Times New Roman" w:hAnsi="Times New Roman" w:eastAsia="仿宋" w:cs="Times New Roman"/>
      <w:b/>
      <w:snapToGrid w:val="0"/>
      <w:kern w:val="44"/>
      <w:sz w:val="44"/>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qFormat/>
    <w:uiPriority w:val="0"/>
    <w:pPr>
      <w:autoSpaceDE w:val="0"/>
      <w:autoSpaceDN w:val="0"/>
      <w:adjustRightInd w:val="0"/>
      <w:spacing w:line="590" w:lineRule="atLeast"/>
      <w:jc w:val="left"/>
    </w:pPr>
    <w:rPr>
      <w:rFonts w:ascii="Times New Roman" w:hAnsi="Times New Roman" w:eastAsia="仿宋" w:cs="Times New Roman"/>
      <w:snapToGrid w:val="0"/>
      <w:spacing w:val="-25"/>
      <w:kern w:val="0"/>
      <w:sz w:val="32"/>
      <w:szCs w:val="20"/>
    </w:rPr>
  </w:style>
  <w:style w:type="paragraph" w:styleId="4">
    <w:name w:val="Balloon Text"/>
    <w:basedOn w:val="1"/>
    <w:link w:val="31"/>
    <w:semiHidden/>
    <w:qFormat/>
    <w:uiPriority w:val="0"/>
    <w:pPr>
      <w:autoSpaceDE w:val="0"/>
      <w:autoSpaceDN w:val="0"/>
      <w:snapToGrid w:val="0"/>
      <w:spacing w:line="590" w:lineRule="atLeast"/>
      <w:ind w:firstLine="624"/>
    </w:pPr>
    <w:rPr>
      <w:rFonts w:ascii="Times New Roman" w:hAnsi="Times New Roman" w:eastAsia="仿宋" w:cs="Times New Roman"/>
      <w:snapToGrid w:val="0"/>
      <w:kern w:val="0"/>
      <w:sz w:val="18"/>
      <w:szCs w:val="18"/>
    </w:rPr>
  </w:style>
  <w:style w:type="paragraph" w:styleId="5">
    <w:name w:val="footer"/>
    <w:basedOn w:val="1"/>
    <w:link w:val="14"/>
    <w:unhideWhenUsed/>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autoSpaceDE w:val="0"/>
      <w:autoSpaceDN w:val="0"/>
      <w:snapToGrid w:val="0"/>
      <w:spacing w:line="590" w:lineRule="atLeast"/>
      <w:ind w:firstLine="624"/>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标题 1 字符"/>
    <w:basedOn w:val="9"/>
    <w:link w:val="2"/>
    <w:qFormat/>
    <w:uiPriority w:val="0"/>
    <w:rPr>
      <w:rFonts w:ascii="Times New Roman" w:hAnsi="Times New Roman" w:eastAsia="仿宋" w:cs="Times New Roman"/>
      <w:b/>
      <w:snapToGrid w:val="0"/>
      <w:kern w:val="44"/>
      <w:sz w:val="44"/>
      <w:szCs w:val="20"/>
    </w:rPr>
  </w:style>
  <w:style w:type="paragraph" w:customStyle="1" w:styleId="16">
    <w:name w:val="标题1"/>
    <w:basedOn w:val="1"/>
    <w:next w:val="1"/>
    <w:qFormat/>
    <w:uiPriority w:val="0"/>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snapToGrid w:val="0"/>
      <w:kern w:val="0"/>
      <w:sz w:val="44"/>
      <w:szCs w:val="20"/>
    </w:rPr>
  </w:style>
  <w:style w:type="paragraph" w:customStyle="1" w:styleId="17">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18">
    <w:name w:val="标题2"/>
    <w:basedOn w:val="1"/>
    <w:next w:val="1"/>
    <w:qFormat/>
    <w:uiPriority w:val="0"/>
    <w:pPr>
      <w:autoSpaceDE w:val="0"/>
      <w:autoSpaceDN w:val="0"/>
      <w:snapToGrid w:val="0"/>
      <w:spacing w:line="590" w:lineRule="atLeast"/>
      <w:jc w:val="center"/>
    </w:pPr>
    <w:rPr>
      <w:rFonts w:ascii="Times New Roman" w:hAnsi="Times New Roman" w:eastAsia="方正楷体_GBK" w:cs="Times New Roman"/>
      <w:snapToGrid w:val="0"/>
      <w:kern w:val="0"/>
      <w:sz w:val="32"/>
      <w:szCs w:val="20"/>
    </w:rPr>
  </w:style>
  <w:style w:type="paragraph" w:customStyle="1" w:styleId="19">
    <w:name w:val="标题3"/>
    <w:basedOn w:val="1"/>
    <w:next w:val="1"/>
    <w:qFormat/>
    <w:uiPriority w:val="0"/>
    <w:pPr>
      <w:autoSpaceDE w:val="0"/>
      <w:autoSpaceDN w:val="0"/>
      <w:snapToGrid w:val="0"/>
      <w:spacing w:line="590" w:lineRule="atLeast"/>
      <w:ind w:firstLine="624"/>
    </w:pPr>
    <w:rPr>
      <w:rFonts w:ascii="Times New Roman" w:hAnsi="Times New Roman" w:eastAsia="方正黑体_GBK" w:cs="Times New Roman"/>
      <w:snapToGrid w:val="0"/>
      <w:kern w:val="0"/>
      <w:sz w:val="32"/>
      <w:szCs w:val="20"/>
    </w:rPr>
  </w:style>
  <w:style w:type="paragraph" w:customStyle="1" w:styleId="20">
    <w:name w:val="密级"/>
    <w:basedOn w:val="1"/>
    <w:qFormat/>
    <w:uiPriority w:val="0"/>
    <w:pPr>
      <w:autoSpaceDE w:val="0"/>
      <w:autoSpaceDN w:val="0"/>
      <w:adjustRightInd w:val="0"/>
      <w:snapToGrid w:val="0"/>
      <w:spacing w:line="440" w:lineRule="atLeast"/>
      <w:jc w:val="right"/>
    </w:pPr>
    <w:rPr>
      <w:rFonts w:ascii="黑体" w:hAnsi="Times New Roman" w:eastAsia="黑体" w:cs="Times New Roman"/>
      <w:snapToGrid w:val="0"/>
      <w:kern w:val="0"/>
      <w:sz w:val="30"/>
      <w:szCs w:val="20"/>
    </w:rPr>
  </w:style>
  <w:style w:type="paragraph" w:customStyle="1" w:styleId="21">
    <w:name w:val="主题词"/>
    <w:basedOn w:val="1"/>
    <w:qFormat/>
    <w:uiPriority w:val="0"/>
    <w:pPr>
      <w:autoSpaceDE w:val="0"/>
      <w:autoSpaceDN w:val="0"/>
      <w:adjustRightInd w:val="0"/>
      <w:spacing w:line="240" w:lineRule="atLeast"/>
      <w:jc w:val="left"/>
    </w:pPr>
    <w:rPr>
      <w:rFonts w:ascii="方正黑体_GBK" w:hAnsi="Times New Roman" w:eastAsia="方正黑体_GBK" w:cs="Times New Roman"/>
      <w:snapToGrid w:val="0"/>
      <w:kern w:val="0"/>
      <w:sz w:val="32"/>
      <w:szCs w:val="20"/>
    </w:rPr>
  </w:style>
  <w:style w:type="paragraph" w:customStyle="1" w:styleId="22">
    <w:name w:val="抄送栏"/>
    <w:basedOn w:val="1"/>
    <w:qFormat/>
    <w:uiPriority w:val="0"/>
    <w:pPr>
      <w:autoSpaceDE w:val="0"/>
      <w:autoSpaceDN w:val="0"/>
      <w:adjustRightInd w:val="0"/>
      <w:spacing w:line="454" w:lineRule="atLeast"/>
      <w:ind w:left="1310" w:right="357" w:hanging="953"/>
    </w:pPr>
    <w:rPr>
      <w:rFonts w:ascii="Times New Roman" w:hAnsi="Times New Roman" w:eastAsia="仿宋" w:cs="Times New Roman"/>
      <w:snapToGrid w:val="0"/>
      <w:kern w:val="0"/>
      <w:sz w:val="32"/>
      <w:szCs w:val="20"/>
    </w:rPr>
  </w:style>
  <w:style w:type="paragraph" w:customStyle="1" w:styleId="23">
    <w:name w:val="线型"/>
    <w:basedOn w:val="22"/>
    <w:qFormat/>
    <w:uiPriority w:val="0"/>
    <w:pPr>
      <w:spacing w:line="240" w:lineRule="auto"/>
      <w:ind w:left="0" w:firstLine="0"/>
      <w:jc w:val="center"/>
    </w:pPr>
    <w:rPr>
      <w:sz w:val="21"/>
    </w:rPr>
  </w:style>
  <w:style w:type="paragraph" w:customStyle="1" w:styleId="24">
    <w:name w:val="印发栏"/>
    <w:basedOn w:val="3"/>
    <w:qFormat/>
    <w:uiPriority w:val="0"/>
    <w:pPr>
      <w:tabs>
        <w:tab w:val="right" w:pos="8465"/>
      </w:tabs>
      <w:spacing w:line="454" w:lineRule="atLeast"/>
      <w:ind w:left="357" w:right="357"/>
    </w:pPr>
    <w:rPr>
      <w:spacing w:val="0"/>
    </w:rPr>
  </w:style>
  <w:style w:type="paragraph" w:customStyle="1" w:styleId="25">
    <w:name w:val="印数"/>
    <w:basedOn w:val="24"/>
    <w:qFormat/>
    <w:uiPriority w:val="0"/>
    <w:pPr>
      <w:spacing w:line="400" w:lineRule="atLeast"/>
      <w:jc w:val="right"/>
    </w:pPr>
  </w:style>
  <w:style w:type="paragraph" w:customStyle="1" w:styleId="26">
    <w:name w:val="文头"/>
    <w:basedOn w:val="1"/>
    <w:qFormat/>
    <w:uiPriority w:val="0"/>
    <w:pPr>
      <w:tabs>
        <w:tab w:val="left" w:pos="6663"/>
      </w:tabs>
      <w:autoSpaceDE w:val="0"/>
      <w:autoSpaceDN w:val="0"/>
      <w:snapToGrid w:val="0"/>
      <w:spacing w:before="40" w:after="800" w:line="1640" w:lineRule="atLeast"/>
      <w:ind w:left="511" w:right="227" w:hanging="284"/>
      <w:jc w:val="distribute"/>
    </w:pPr>
    <w:rPr>
      <w:rFonts w:ascii="汉鼎简大宋" w:hAnsi="Times New Roman" w:eastAsia="汉鼎简大宋" w:cs="Times New Roman"/>
      <w:b/>
      <w:snapToGrid w:val="0"/>
      <w:color w:val="FF0000"/>
      <w:w w:val="50"/>
      <w:kern w:val="0"/>
      <w:sz w:val="136"/>
      <w:szCs w:val="20"/>
    </w:rPr>
  </w:style>
  <w:style w:type="paragraph" w:customStyle="1" w:styleId="27">
    <w:name w:val="附件栏"/>
    <w:basedOn w:val="1"/>
    <w:qFormat/>
    <w:uiPriority w:val="0"/>
    <w:pPr>
      <w:autoSpaceDE w:val="0"/>
      <w:autoSpaceDN w:val="0"/>
      <w:snapToGrid w:val="0"/>
      <w:spacing w:line="590" w:lineRule="atLeast"/>
      <w:ind w:firstLine="624"/>
    </w:pPr>
    <w:rPr>
      <w:rFonts w:ascii="Times New Roman" w:hAnsi="Times New Roman" w:eastAsia="仿宋" w:cs="Times New Roman"/>
      <w:snapToGrid w:val="0"/>
      <w:kern w:val="0"/>
      <w:sz w:val="32"/>
      <w:szCs w:val="20"/>
    </w:rPr>
  </w:style>
  <w:style w:type="paragraph" w:customStyle="1" w:styleId="28">
    <w:name w:val="紧急程度"/>
    <w:basedOn w:val="20"/>
    <w:qFormat/>
    <w:uiPriority w:val="0"/>
    <w:pPr>
      <w:overflowPunct w:val="0"/>
    </w:pPr>
    <w:rPr>
      <w:sz w:val="32"/>
    </w:rPr>
  </w:style>
  <w:style w:type="paragraph" w:customStyle="1" w:styleId="29">
    <w:name w:val="样式1"/>
    <w:basedOn w:val="1"/>
    <w:qFormat/>
    <w:uiPriority w:val="0"/>
    <w:pPr>
      <w:autoSpaceDE w:val="0"/>
      <w:autoSpaceDN w:val="0"/>
      <w:snapToGrid w:val="0"/>
      <w:spacing w:line="590" w:lineRule="atLeast"/>
      <w:ind w:firstLine="624"/>
    </w:pPr>
    <w:rPr>
      <w:rFonts w:ascii="Times New Roman" w:hAnsi="Times New Roman" w:eastAsia="仿宋" w:cs="Times New Roman"/>
      <w:snapToGrid w:val="0"/>
      <w:kern w:val="0"/>
      <w:sz w:val="32"/>
      <w:szCs w:val="20"/>
    </w:rPr>
  </w:style>
  <w:style w:type="paragraph" w:customStyle="1" w:styleId="30">
    <w:name w:val="样式 主题词 + 段后: 8.85 磅 行距: 固定值 26 磅"/>
    <w:basedOn w:val="1"/>
    <w:qFormat/>
    <w:uiPriority w:val="0"/>
    <w:pPr>
      <w:autoSpaceDE w:val="0"/>
      <w:autoSpaceDN w:val="0"/>
      <w:adjustRightInd w:val="0"/>
      <w:spacing w:after="177" w:line="520" w:lineRule="exact"/>
      <w:jc w:val="left"/>
    </w:pPr>
    <w:rPr>
      <w:rFonts w:ascii="方正黑体_GBK" w:hAnsi="Times New Roman" w:eastAsia="方正黑体_GBK" w:cs="宋体"/>
      <w:bCs/>
      <w:snapToGrid w:val="0"/>
      <w:kern w:val="0"/>
      <w:sz w:val="32"/>
      <w:szCs w:val="20"/>
    </w:rPr>
  </w:style>
  <w:style w:type="character" w:customStyle="1" w:styleId="31">
    <w:name w:val="批注框文本 字符"/>
    <w:basedOn w:val="9"/>
    <w:link w:val="4"/>
    <w:semiHidden/>
    <w:qFormat/>
    <w:uiPriority w:val="0"/>
    <w:rPr>
      <w:rFonts w:ascii="Times New Roman" w:hAnsi="Times New Roman" w:eastAsia="仿宋" w:cs="Times New Roman"/>
      <w:snapToGrid w:val="0"/>
      <w:kern w:val="0"/>
      <w:sz w:val="18"/>
      <w:szCs w:val="18"/>
    </w:rPr>
  </w:style>
  <w:style w:type="paragraph" w:customStyle="1" w:styleId="32">
    <w:name w:val="Revision"/>
    <w:hidden/>
    <w:semiHidden/>
    <w:qFormat/>
    <w:uiPriority w:val="99"/>
    <w:rPr>
      <w:rFonts w:ascii="Times New Roman" w:hAnsi="Times New Roman" w:eastAsia="仿宋" w:cs="Times New Roman"/>
      <w:snapToGrid w:val="0"/>
      <w:kern w:val="0"/>
      <w:sz w:val="32"/>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45</Words>
  <Characters>257</Characters>
  <Lines>2</Lines>
  <Paragraphs>1</Paragraphs>
  <TotalTime>81</TotalTime>
  <ScaleCrop>false</ScaleCrop>
  <LinksUpToDate>false</LinksUpToDate>
  <CharactersWithSpaces>301</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2024-04-25T21:36:00Z</dcterms:created>
  <dc:creator>Windows User</dc:creator>
  <cp:lastModifiedBy>港航局（政）</cp:lastModifiedBy>
  <cp:lastPrinted>2024-04-26T11:24:21Z</cp:lastPrinted>
  <dcterms:modified xsi:type="dcterms:W3CDTF">2024-04-26T11:29:36Z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