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center"/>
        <w:rPr>
          <w:rFonts w:eastAsia="华文中宋"/>
          <w:szCs w:val="32"/>
        </w:rPr>
      </w:pPr>
    </w:p>
    <w:p>
      <w:pPr>
        <w:spacing w:line="640" w:lineRule="exact"/>
        <w:jc w:val="center"/>
        <w:outlineLvl w:val="0"/>
        <w:rPr>
          <w:rFonts w:eastAsia="方正小标宋简体"/>
          <w:spacing w:val="0"/>
          <w:sz w:val="44"/>
          <w:szCs w:val="44"/>
        </w:rPr>
      </w:pPr>
      <w:r>
        <w:rPr>
          <w:rFonts w:hint="eastAsia" w:eastAsia="方正小标宋简体"/>
          <w:spacing w:val="0"/>
          <w:sz w:val="44"/>
          <w:szCs w:val="44"/>
        </w:rPr>
        <w:t>市交通运输委市发展改革委市公安局关于今年</w:t>
      </w:r>
      <w:r>
        <w:rPr>
          <w:rFonts w:eastAsia="方正小标宋简体"/>
          <w:spacing w:val="0"/>
          <w:sz w:val="44"/>
          <w:szCs w:val="44"/>
        </w:rPr>
        <w:t>增投我市小客车个人摇号指标的</w:t>
      </w:r>
      <w:r>
        <w:rPr>
          <w:rFonts w:hint="eastAsia" w:eastAsia="方正小标宋简体"/>
          <w:spacing w:val="0"/>
          <w:sz w:val="44"/>
          <w:szCs w:val="44"/>
        </w:rPr>
        <w:t>通知</w:t>
      </w:r>
    </w:p>
    <w:p>
      <w:pPr>
        <w:spacing w:line="560" w:lineRule="exact"/>
        <w:jc w:val="center"/>
        <w:rPr>
          <w:szCs w:val="32"/>
        </w:rPr>
      </w:pPr>
    </w:p>
    <w:p>
      <w:pPr>
        <w:spacing w:line="560" w:lineRule="exact"/>
        <w:rPr>
          <w:szCs w:val="32"/>
        </w:rPr>
      </w:pPr>
      <w:r>
        <w:rPr>
          <w:rFonts w:hint="eastAsia"/>
          <w:szCs w:val="32"/>
        </w:rPr>
        <w:t>各区人民政府，各有关部门：</w:t>
      </w:r>
    </w:p>
    <w:p>
      <w:pPr>
        <w:spacing w:line="560" w:lineRule="exact"/>
        <w:ind w:firstLine="616" w:firstLineChars="200"/>
        <w:rPr>
          <w:szCs w:val="32"/>
        </w:rPr>
      </w:pPr>
      <w:r>
        <w:rPr>
          <w:szCs w:val="32"/>
        </w:rPr>
        <w:t xml:space="preserve"> 为贯彻落实《国务院办公厅关于进一步释放消费潜力促进消费持续恢复的意见》（国办发〔2022〕9号）</w:t>
      </w:r>
      <w:r>
        <w:rPr>
          <w:rFonts w:hint="eastAsia"/>
          <w:szCs w:val="32"/>
        </w:rPr>
        <w:t>要求，</w:t>
      </w:r>
      <w:r>
        <w:rPr>
          <w:szCs w:val="32"/>
        </w:rPr>
        <w:t>根据《天津市小客车总量调控管理办法》（津政发〔2019〕31号）和《天津市人民政府办公厅关于印发天津市进一步促进汽车消费措施的通知》（津政办规〔2021〕8号）</w:t>
      </w:r>
      <w:r>
        <w:rPr>
          <w:rFonts w:hint="eastAsia"/>
          <w:szCs w:val="32"/>
        </w:rPr>
        <w:t>规定</w:t>
      </w:r>
      <w:r>
        <w:rPr>
          <w:szCs w:val="32"/>
        </w:rPr>
        <w:t>，为拉动汽车消费，促进经济增长，经市人民政府同意，</w:t>
      </w:r>
      <w:r>
        <w:rPr>
          <w:rFonts w:hint="eastAsia"/>
          <w:szCs w:val="32"/>
        </w:rPr>
        <w:t>现临时</w:t>
      </w:r>
      <w:r>
        <w:rPr>
          <w:szCs w:val="32"/>
        </w:rPr>
        <w:t>调整</w:t>
      </w:r>
      <w:r>
        <w:rPr>
          <w:rFonts w:hint="eastAsia"/>
          <w:szCs w:val="32"/>
        </w:rPr>
        <w:t>我市今年小客车</w:t>
      </w:r>
      <w:r>
        <w:rPr>
          <w:szCs w:val="32"/>
        </w:rPr>
        <w:t>增量指标配置额度，具体如下：</w:t>
      </w:r>
    </w:p>
    <w:p>
      <w:pPr>
        <w:spacing w:line="560" w:lineRule="exact"/>
        <w:ind w:firstLine="616" w:firstLineChars="200"/>
        <w:rPr>
          <w:szCs w:val="32"/>
        </w:rPr>
      </w:pPr>
      <w:r>
        <w:rPr>
          <w:szCs w:val="32"/>
        </w:rPr>
        <w:t xml:space="preserve"> 在</w:t>
      </w:r>
      <w:r>
        <w:rPr>
          <w:rFonts w:hint="eastAsia"/>
          <w:szCs w:val="32"/>
        </w:rPr>
        <w:t>2022年</w:t>
      </w:r>
      <w:r>
        <w:rPr>
          <w:szCs w:val="32"/>
        </w:rPr>
        <w:t>原</w:t>
      </w:r>
      <w:r>
        <w:rPr>
          <w:rFonts w:hint="eastAsia"/>
          <w:szCs w:val="32"/>
        </w:rPr>
        <w:t>增量指标</w:t>
      </w:r>
      <w:r>
        <w:rPr>
          <w:szCs w:val="32"/>
        </w:rPr>
        <w:t>配置</w:t>
      </w:r>
      <w:r>
        <w:rPr>
          <w:rFonts w:hint="eastAsia"/>
          <w:szCs w:val="32"/>
        </w:rPr>
        <w:t>额度</w:t>
      </w:r>
      <w:r>
        <w:rPr>
          <w:szCs w:val="32"/>
        </w:rPr>
        <w:t>基础上，增投3.5万</w:t>
      </w:r>
      <w:r>
        <w:rPr>
          <w:rFonts w:hint="eastAsia"/>
          <w:szCs w:val="32"/>
        </w:rPr>
        <w:t>个增量</w:t>
      </w:r>
      <w:r>
        <w:rPr>
          <w:szCs w:val="32"/>
        </w:rPr>
        <w:t>指标</w:t>
      </w:r>
      <w:r>
        <w:rPr>
          <w:rFonts w:hint="eastAsia"/>
          <w:szCs w:val="32"/>
        </w:rPr>
        <w:t>，原则上</w:t>
      </w:r>
      <w:r>
        <w:rPr>
          <w:szCs w:val="32"/>
        </w:rPr>
        <w:t>平均配置到</w:t>
      </w:r>
      <w:r>
        <w:rPr>
          <w:rFonts w:hint="eastAsia"/>
          <w:szCs w:val="32"/>
        </w:rPr>
        <w:t>2022年</w:t>
      </w:r>
      <w:r>
        <w:rPr>
          <w:szCs w:val="32"/>
        </w:rPr>
        <w:t>6月—12月，每月增加配置5000个指标</w:t>
      </w:r>
      <w:r>
        <w:rPr>
          <w:rFonts w:hint="eastAsia"/>
          <w:szCs w:val="32"/>
        </w:rPr>
        <w:t>。</w:t>
      </w:r>
      <w:r>
        <w:rPr>
          <w:szCs w:val="32"/>
        </w:rPr>
        <w:t>增投的指标全部</w:t>
      </w:r>
      <w:r>
        <w:rPr>
          <w:rFonts w:hint="eastAsia"/>
          <w:szCs w:val="32"/>
        </w:rPr>
        <w:t>配置</w:t>
      </w:r>
      <w:r>
        <w:rPr>
          <w:szCs w:val="32"/>
        </w:rPr>
        <w:t>用于个人</w:t>
      </w:r>
      <w:r>
        <w:rPr>
          <w:rFonts w:hint="eastAsia"/>
          <w:szCs w:val="32"/>
        </w:rPr>
        <w:t>普通车</w:t>
      </w:r>
      <w:r>
        <w:rPr>
          <w:szCs w:val="32"/>
        </w:rPr>
        <w:t>摇号，由市调控服务机构纳入当月指标配置计划，按月组织实施。当月未能成功配置的</w:t>
      </w:r>
      <w:r>
        <w:rPr>
          <w:rFonts w:hint="eastAsia"/>
          <w:szCs w:val="32"/>
        </w:rPr>
        <w:t>个人普通车摇号</w:t>
      </w:r>
      <w:r>
        <w:rPr>
          <w:szCs w:val="32"/>
        </w:rPr>
        <w:t>指标，纳入次月摇号配置</w:t>
      </w:r>
      <w:r>
        <w:rPr>
          <w:rFonts w:hint="eastAsia"/>
          <w:szCs w:val="32"/>
        </w:rPr>
        <w:t>，并不得跨周期配置</w:t>
      </w:r>
      <w:r>
        <w:rPr>
          <w:szCs w:val="32"/>
        </w:rPr>
        <w:t>。</w:t>
      </w:r>
    </w:p>
    <w:p>
      <w:pPr>
        <w:spacing w:line="560" w:lineRule="exact"/>
        <w:ind w:firstLine="616" w:firstLineChars="200"/>
        <w:rPr>
          <w:szCs w:val="32"/>
        </w:rPr>
      </w:pPr>
      <w:r>
        <w:rPr>
          <w:szCs w:val="32"/>
        </w:rPr>
        <w:t xml:space="preserve"> 特此</w:t>
      </w:r>
      <w:r>
        <w:rPr>
          <w:rFonts w:hint="eastAsia"/>
          <w:szCs w:val="32"/>
        </w:rPr>
        <w:t>通知</w:t>
      </w:r>
      <w:r>
        <w:rPr>
          <w:szCs w:val="32"/>
        </w:rPr>
        <w:t xml:space="preserve">。 </w:t>
      </w:r>
    </w:p>
    <w:p>
      <w:pPr>
        <w:spacing w:line="560" w:lineRule="exact"/>
        <w:ind w:firstLine="616" w:firstLineChars="200"/>
        <w:rPr>
          <w:szCs w:val="32"/>
        </w:rPr>
      </w:pPr>
    </w:p>
    <w:p>
      <w:pPr>
        <w:spacing w:line="560" w:lineRule="exact"/>
        <w:rPr>
          <w:szCs w:val="32"/>
        </w:rPr>
      </w:pPr>
    </w:p>
    <w:p>
      <w:pPr>
        <w:spacing w:beforeLines="80" w:line="560" w:lineRule="exact"/>
        <w:ind w:firstLine="616" w:firstLineChars="200"/>
        <w:rPr>
          <w:szCs w:val="32"/>
        </w:rPr>
      </w:pPr>
      <w:r>
        <w:rPr>
          <w:rFonts w:hint="eastAsia"/>
          <w:szCs w:val="32"/>
        </w:rPr>
        <w:t>市交通运输委     市发展改革委      市公安局</w:t>
      </w:r>
    </w:p>
    <w:p>
      <w:pPr>
        <w:spacing w:line="560" w:lineRule="exact"/>
        <w:ind w:firstLine="616" w:firstLineChars="200"/>
        <w:jc w:val="center"/>
        <w:rPr>
          <w:szCs w:val="32"/>
        </w:rPr>
      </w:pPr>
      <w:r>
        <w:rPr>
          <w:rFonts w:hint="eastAsia"/>
          <w:szCs w:val="32"/>
        </w:rPr>
        <w:t xml:space="preserve">                       </w:t>
      </w:r>
      <w:r>
        <w:rPr>
          <w:szCs w:val="32"/>
        </w:rPr>
        <w:t>2022年5月</w:t>
      </w:r>
      <w:r>
        <w:rPr>
          <w:rFonts w:hint="eastAsia"/>
          <w:szCs w:val="32"/>
        </w:rPr>
        <w:t>X</w:t>
      </w:r>
      <w:r>
        <w:rPr>
          <w:szCs w:val="32"/>
        </w:rPr>
        <w:t xml:space="preserve">日 </w:t>
      </w:r>
    </w:p>
    <w:p>
      <w:pPr>
        <w:spacing w:line="560" w:lineRule="exact"/>
        <w:ind w:firstLine="616" w:firstLineChars="200"/>
        <w:jc w:val="center"/>
        <w:rPr>
          <w:szCs w:val="32"/>
        </w:rPr>
      </w:pPr>
    </w:p>
    <w:p>
      <w:pPr>
        <w:spacing w:line="560" w:lineRule="exact"/>
        <w:ind w:firstLine="616" w:firstLineChars="200"/>
        <w:jc w:val="center"/>
        <w:rPr>
          <w:szCs w:val="32"/>
        </w:rPr>
      </w:pPr>
    </w:p>
    <w:p>
      <w:pPr>
        <w:spacing w:line="560" w:lineRule="exact"/>
        <w:ind w:firstLine="616" w:firstLineChars="200"/>
        <w:jc w:val="center"/>
        <w:rPr>
          <w:szCs w:val="32"/>
        </w:rPr>
      </w:pPr>
    </w:p>
    <w:p>
      <w:pPr>
        <w:spacing w:line="560" w:lineRule="exact"/>
        <w:ind w:firstLine="616" w:firstLineChars="200"/>
        <w:jc w:val="center"/>
        <w:rPr>
          <w:szCs w:val="32"/>
        </w:rPr>
      </w:pPr>
    </w:p>
    <w:p>
      <w:pPr>
        <w:spacing w:line="560" w:lineRule="exact"/>
        <w:ind w:firstLine="616" w:firstLineChars="200"/>
        <w:jc w:val="center"/>
        <w:rPr>
          <w:szCs w:val="32"/>
        </w:rPr>
      </w:pPr>
    </w:p>
    <w:p>
      <w:pPr>
        <w:spacing w:line="560" w:lineRule="exact"/>
        <w:ind w:firstLine="616" w:firstLineChars="200"/>
        <w:jc w:val="center"/>
        <w:rPr>
          <w:szCs w:val="32"/>
        </w:rPr>
      </w:pPr>
    </w:p>
    <w:p>
      <w:pPr>
        <w:spacing w:line="560" w:lineRule="exact"/>
        <w:ind w:firstLine="616" w:firstLineChars="200"/>
        <w:jc w:val="center"/>
        <w:rPr>
          <w:szCs w:val="32"/>
        </w:rPr>
      </w:pPr>
    </w:p>
    <w:p>
      <w:pPr>
        <w:spacing w:line="560" w:lineRule="exact"/>
        <w:ind w:firstLine="616" w:firstLineChars="200"/>
        <w:jc w:val="center"/>
        <w:rPr>
          <w:szCs w:val="32"/>
        </w:rPr>
      </w:pPr>
    </w:p>
    <w:p>
      <w:pPr>
        <w:spacing w:line="560" w:lineRule="exact"/>
        <w:ind w:firstLine="616" w:firstLineChars="200"/>
        <w:jc w:val="center"/>
        <w:rPr>
          <w:szCs w:val="32"/>
        </w:rPr>
      </w:pPr>
    </w:p>
    <w:p>
      <w:pPr>
        <w:spacing w:line="560" w:lineRule="exact"/>
        <w:ind w:firstLine="616" w:firstLineChars="200"/>
        <w:jc w:val="center"/>
        <w:rPr>
          <w:szCs w:val="32"/>
        </w:rPr>
      </w:pPr>
    </w:p>
    <w:p>
      <w:pPr>
        <w:spacing w:line="560" w:lineRule="exact"/>
        <w:ind w:firstLine="616" w:firstLineChars="200"/>
        <w:rPr>
          <w:rFonts w:hint="eastAsia"/>
          <w:szCs w:val="32"/>
        </w:rPr>
      </w:pPr>
      <w:r>
        <w:rPr>
          <w:rFonts w:hint="eastAsia"/>
          <w:szCs w:val="32"/>
        </w:rPr>
        <w:t>（此件主动公开）</w:t>
      </w:r>
    </w:p>
    <w:p>
      <w:pPr>
        <w:spacing w:line="560" w:lineRule="exact"/>
        <w:ind w:firstLine="616" w:firstLineChars="200"/>
        <w:rPr>
          <w:rFonts w:hint="eastAsia"/>
          <w:szCs w:val="32"/>
        </w:rPr>
      </w:pPr>
    </w:p>
    <w:p>
      <w:pPr>
        <w:spacing w:line="560" w:lineRule="exact"/>
        <w:ind w:firstLine="616" w:firstLineChars="200"/>
        <w:rPr>
          <w:rFonts w:hint="eastAsia"/>
          <w:szCs w:val="32"/>
        </w:rPr>
      </w:pPr>
    </w:p>
    <w:p>
      <w:pPr>
        <w:spacing w:line="560" w:lineRule="exact"/>
        <w:ind w:firstLine="616" w:firstLineChars="200"/>
        <w:rPr>
          <w:rFonts w:hint="eastAsia"/>
          <w:szCs w:val="32"/>
        </w:rPr>
      </w:pPr>
    </w:p>
    <w:p>
      <w:pPr>
        <w:spacing w:line="560" w:lineRule="exact"/>
        <w:ind w:firstLine="616" w:firstLineChars="200"/>
        <w:rPr>
          <w:rFonts w:hint="eastAsia"/>
          <w:szCs w:val="32"/>
        </w:rPr>
      </w:pPr>
    </w:p>
    <w:p>
      <w:pPr>
        <w:spacing w:line="560" w:lineRule="exact"/>
        <w:ind w:firstLine="616" w:firstLineChars="200"/>
        <w:rPr>
          <w:rFonts w:hint="eastAsia"/>
          <w:szCs w:val="32"/>
        </w:rPr>
      </w:pPr>
    </w:p>
    <w:p>
      <w:pPr>
        <w:spacing w:line="560" w:lineRule="exact"/>
        <w:ind w:firstLine="616" w:firstLineChars="200"/>
        <w:rPr>
          <w:rFonts w:hint="eastAsia"/>
          <w:szCs w:val="32"/>
        </w:rPr>
      </w:pPr>
    </w:p>
    <w:p>
      <w:pPr>
        <w:spacing w:line="560" w:lineRule="exact"/>
        <w:ind w:firstLine="616" w:firstLineChars="200"/>
        <w:rPr>
          <w:rFonts w:hint="eastAsia"/>
          <w:szCs w:val="32"/>
        </w:rPr>
      </w:pPr>
    </w:p>
    <w:p>
      <w:pPr>
        <w:spacing w:line="560" w:lineRule="exact"/>
        <w:ind w:firstLine="616" w:firstLineChars="200"/>
        <w:rPr>
          <w:rFonts w:hint="eastAsia"/>
          <w:szCs w:val="32"/>
        </w:rPr>
      </w:pPr>
    </w:p>
    <w:p>
      <w:pPr>
        <w:spacing w:line="560" w:lineRule="exact"/>
        <w:ind w:firstLine="616" w:firstLineChars="200"/>
        <w:rPr>
          <w:rFonts w:hint="eastAsia"/>
          <w:szCs w:val="32"/>
        </w:rPr>
      </w:pPr>
    </w:p>
    <w:p>
      <w:pPr>
        <w:spacing w:line="560" w:lineRule="exact"/>
        <w:ind w:firstLine="616" w:firstLineChars="200"/>
        <w:rPr>
          <w:rFonts w:hint="eastAsia"/>
          <w:szCs w:val="32"/>
        </w:rPr>
      </w:pPr>
      <w:bookmarkStart w:id="0" w:name="_GoBack"/>
      <w:bookmarkEnd w:id="0"/>
    </w:p>
    <w:p>
      <w:pPr>
        <w:widowControl/>
        <w:spacing w:line="560" w:lineRule="exact"/>
        <w:jc w:val="left"/>
      </w:pPr>
      <w:r>
        <w:rPr>
          <w:szCs w:val="32"/>
        </w:rPr>
        <w:pict>
          <v:line id="直接连接符 2" o:spid="_x0000_s2051" o:spt="20" style="position:absolute;left:0pt;flip:y;margin-left:-0.25pt;margin-top:31.25pt;height:0pt;width:442.2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">
            <v:path arrowok="t"/>
            <v:fill focussize="0,0"/>
            <v:stroke weight="1pt"/>
            <v:imagedata o:title=""/>
            <o:lock v:ext="edit"/>
          </v:line>
        </w:pict>
      </w:r>
      <w:r>
        <w:rPr>
          <w:sz w:val="28"/>
          <w:szCs w:val="28"/>
        </w:rPr>
        <w:pict>
          <v:line id="直接连接符 1" o:spid="_x0000_s2050" o:spt="20" style="position:absolute;left:0pt;flip:y;margin-left:-0.25pt;margin-top:2.7pt;height:0pt;width:442.2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">
            <v:path arrowok="t"/>
            <v:fill focussize="0,0"/>
            <v:stroke weight="1pt"/>
            <v:imagedata o:title=""/>
            <o:lock v:ext="edit"/>
          </v:line>
        </w:pict>
      </w:r>
      <w:r>
        <w:rPr>
          <w:rFonts w:hint="eastAsia"/>
          <w:sz w:val="28"/>
          <w:szCs w:val="28"/>
        </w:rPr>
        <w:t xml:space="preserve">  </w:t>
      </w:r>
      <w:r>
        <w:rPr>
          <w:sz w:val="28"/>
          <w:szCs w:val="28"/>
        </w:rPr>
        <w:t xml:space="preserve">天津市交通运输委员会办公室 </w:t>
      </w:r>
      <w:r>
        <w:rPr>
          <w:szCs w:val="32"/>
        </w:rPr>
        <w:t xml:space="preserve">             </w:t>
      </w:r>
      <w:r>
        <w:rPr>
          <w:sz w:val="28"/>
          <w:szCs w:val="28"/>
        </w:rPr>
        <w:t>202</w:t>
      </w:r>
      <w:r>
        <w:rPr>
          <w:rFonts w:hint="eastAsia"/>
          <w:sz w:val="28"/>
          <w:szCs w:val="28"/>
        </w:rPr>
        <w:t>2</w:t>
      </w:r>
      <w:r>
        <w:rPr>
          <w:sz w:val="28"/>
          <w:szCs w:val="28"/>
        </w:rPr>
        <w:t>年</w:t>
      </w:r>
      <w:r>
        <w:rPr>
          <w:rFonts w:hint="eastAsia"/>
          <w:sz w:val="28"/>
          <w:szCs w:val="28"/>
        </w:rPr>
        <w:t>5</w:t>
      </w:r>
      <w:r>
        <w:rPr>
          <w:sz w:val="28"/>
          <w:szCs w:val="28"/>
        </w:rPr>
        <w:t>月</w:t>
      </w:r>
      <w:r>
        <w:rPr>
          <w:rFonts w:hint="eastAsia"/>
          <w:szCs w:val="32"/>
        </w:rPr>
        <w:t>XX</w:t>
      </w:r>
      <w:r>
        <w:rPr>
          <w:sz w:val="28"/>
          <w:szCs w:val="28"/>
        </w:rPr>
        <w:t>日印发</w:t>
      </w:r>
    </w:p>
    <w:sectPr>
      <w:footerReference r:id="rId5" w:type="default"/>
      <w:footerReference r:id="rId6" w:type="even"/>
      <w:pgSz w:w="11906" w:h="16838"/>
      <w:pgMar w:top="2098" w:right="1474" w:bottom="1984" w:left="1588" w:header="851" w:footer="1587" w:gutter="0"/>
      <w:pgNumType w:fmt="numberInDash"/>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616" w:rightChars="20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616" w:leftChars="200"/>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evenAndOddHeaders w:val="1"/>
  <w:drawingGridVerticalSpacing w:val="156"/>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EwMmFmODYzODYwZWE0NDI4NTUzN2M3OTZlNjQ2ODQifQ=="/>
  </w:docVars>
  <w:rsids>
    <w:rsidRoot w:val="16E401CC"/>
    <w:rsid w:val="001F7014"/>
    <w:rsid w:val="00A93252"/>
    <w:rsid w:val="00BD10D3"/>
    <w:rsid w:val="00E04632"/>
    <w:rsid w:val="00FE26BF"/>
    <w:rsid w:val="01856881"/>
    <w:rsid w:val="064F0082"/>
    <w:rsid w:val="068F00E1"/>
    <w:rsid w:val="10314B1D"/>
    <w:rsid w:val="11BE4CEA"/>
    <w:rsid w:val="12D81675"/>
    <w:rsid w:val="14C63669"/>
    <w:rsid w:val="16E401CC"/>
    <w:rsid w:val="1AB04D0D"/>
    <w:rsid w:val="1BF6E217"/>
    <w:rsid w:val="22491C56"/>
    <w:rsid w:val="29907C3F"/>
    <w:rsid w:val="2A0C61A0"/>
    <w:rsid w:val="2B6F44AC"/>
    <w:rsid w:val="2BE412CA"/>
    <w:rsid w:val="2BF77F01"/>
    <w:rsid w:val="2D827D1E"/>
    <w:rsid w:val="2E9FE5BB"/>
    <w:rsid w:val="30A74C5B"/>
    <w:rsid w:val="34EC4C37"/>
    <w:rsid w:val="370DADA1"/>
    <w:rsid w:val="37DBDFBD"/>
    <w:rsid w:val="38A8133A"/>
    <w:rsid w:val="39DB03B0"/>
    <w:rsid w:val="3D5E0C45"/>
    <w:rsid w:val="3E8527A2"/>
    <w:rsid w:val="3FFD3FF5"/>
    <w:rsid w:val="3FFF01B6"/>
    <w:rsid w:val="40057155"/>
    <w:rsid w:val="40616B2E"/>
    <w:rsid w:val="44E02262"/>
    <w:rsid w:val="47A8519E"/>
    <w:rsid w:val="492905A3"/>
    <w:rsid w:val="49F8204D"/>
    <w:rsid w:val="4A015677"/>
    <w:rsid w:val="4DAF4C6A"/>
    <w:rsid w:val="4FFEC0D9"/>
    <w:rsid w:val="514F07F2"/>
    <w:rsid w:val="5E0F1B60"/>
    <w:rsid w:val="5FFBC2C0"/>
    <w:rsid w:val="5FFE77FD"/>
    <w:rsid w:val="613E2453"/>
    <w:rsid w:val="640D13EE"/>
    <w:rsid w:val="6C49083F"/>
    <w:rsid w:val="6D717C1E"/>
    <w:rsid w:val="6EBF30A5"/>
    <w:rsid w:val="6FFF9D45"/>
    <w:rsid w:val="72031915"/>
    <w:rsid w:val="73BB0B19"/>
    <w:rsid w:val="759F3666"/>
    <w:rsid w:val="75DB226C"/>
    <w:rsid w:val="79AC5FC4"/>
    <w:rsid w:val="7B1240D2"/>
    <w:rsid w:val="7BF79BAA"/>
    <w:rsid w:val="7CFE375B"/>
    <w:rsid w:val="7D5D9587"/>
    <w:rsid w:val="7EEF3822"/>
    <w:rsid w:val="7F6916AB"/>
    <w:rsid w:val="7FED5E98"/>
    <w:rsid w:val="83F58B82"/>
    <w:rsid w:val="9BFE958D"/>
    <w:rsid w:val="9C9F2556"/>
    <w:rsid w:val="B7DF8D36"/>
    <w:rsid w:val="B9FD0520"/>
    <w:rsid w:val="BEBBB56E"/>
    <w:rsid w:val="BEBEF204"/>
    <w:rsid w:val="BFBD9095"/>
    <w:rsid w:val="CF4BE4D6"/>
    <w:rsid w:val="CFE540DF"/>
    <w:rsid w:val="DD4DE1CA"/>
    <w:rsid w:val="EBFF72F8"/>
    <w:rsid w:val="F37965FF"/>
    <w:rsid w:val="F3CFACBD"/>
    <w:rsid w:val="FBBF13EF"/>
    <w:rsid w:val="FEEFD062"/>
    <w:rsid w:val="FEFA70D4"/>
    <w:rsid w:val="FEFBD575"/>
    <w:rsid w:val="FFEDCD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Date"/>
    <w:basedOn w:val="1"/>
    <w:next w:val="1"/>
    <w:qFormat/>
    <w:uiPriority w:val="0"/>
    <w:pPr>
      <w:ind w:left="100" w:leftChars="2500"/>
    </w:pPr>
    <w:rPr>
      <w:rFonts w:ascii="仿宋_GB2312"/>
    </w:rPr>
  </w:style>
  <w:style w:type="paragraph" w:styleId="4">
    <w:name w:val="footer"/>
    <w:basedOn w:val="1"/>
    <w:unhideWhenUsed/>
    <w:qFormat/>
    <w:uiPriority w:val="0"/>
    <w:pPr>
      <w:tabs>
        <w:tab w:val="center" w:pos="4153"/>
        <w:tab w:val="right" w:pos="8306"/>
      </w:tabs>
      <w:overflowPunct w:val="0"/>
      <w:autoSpaceDE w:val="0"/>
      <w:autoSpaceDN w:val="0"/>
      <w:adjustRightInd w:val="0"/>
      <w:textAlignment w:val="baseline"/>
    </w:pPr>
    <w:rPr>
      <w:sz w:val="20"/>
    </w:rPr>
  </w:style>
  <w:style w:type="paragraph" w:styleId="5">
    <w:name w:val="header"/>
    <w:basedOn w:val="1"/>
    <w:link w:val="12"/>
    <w:unhideWhenUsed/>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paragraph" w:styleId="7">
    <w:name w:val="Body Text First Indent 2"/>
    <w:basedOn w:val="2"/>
    <w:next w:val="3"/>
    <w:qFormat/>
    <w:uiPriority w:val="0"/>
    <w:pPr>
      <w:ind w:firstLine="420" w:firstLineChars="200"/>
    </w:pPr>
  </w:style>
  <w:style w:type="character" w:styleId="10">
    <w:name w:val="page number"/>
    <w:basedOn w:val="9"/>
    <w:unhideWhenUsed/>
    <w:qFormat/>
    <w:uiPriority w:val="99"/>
  </w:style>
  <w:style w:type="character" w:customStyle="1" w:styleId="11">
    <w:name w:val="NormalCharacter"/>
    <w:semiHidden/>
    <w:qFormat/>
    <w:uiPriority w:val="99"/>
  </w:style>
  <w:style w:type="character" w:customStyle="1" w:styleId="12">
    <w:name w:val="页眉 Char"/>
    <w:basedOn w:val="9"/>
    <w:link w:val="5"/>
    <w:uiPriority w:val="0"/>
    <w:rPr>
      <w:rFonts w:eastAsia="仿宋_GB2312"/>
      <w:spacing w:val="-6"/>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413</Words>
  <Characters>443</Characters>
  <Lines>4</Lines>
  <Paragraphs>1</Paragraphs>
  <TotalTime>16</TotalTime>
  <ScaleCrop>false</ScaleCrop>
  <LinksUpToDate>false</LinksUpToDate>
  <CharactersWithSpaces>498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2016-04-21T03:31:00Z</dcterms:created>
  <dc:creator>Administrator</dc:creator>
  <cp:lastModifiedBy>陶金秋</cp:lastModifiedBy>
  <cp:lastPrinted>2022-05-17T18:50:00Z</cp:lastPrinted>
  <dcterms:modified xsi:type="dcterms:W3CDTF">2023-06-14T02:48:48Z</dcterms:modified>
  <dc:title>附件n</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52D8030B908848329AB81A7AE0404898</vt:lpwstr>
  </property>
</Properties>
</file>