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center"/>
        <w:rPr>
          <w:rFonts w:eastAsia="仿宋_GB2312"/>
          <w:color w:val="FF0000"/>
          <w:w w:val="66"/>
          <w:kern w:val="15"/>
          <w:sz w:val="32"/>
          <w:szCs w:val="32"/>
        </w:rPr>
      </w:pPr>
    </w:p>
    <w:p>
      <w:pPr>
        <w:ind w:firstLine="422" w:firstLineChars="200"/>
        <w:jc w:val="center"/>
        <w:rPr>
          <w:rFonts w:eastAsia="仿宋_GB2312"/>
          <w:color w:val="FF0000"/>
          <w:w w:val="66"/>
          <w:kern w:val="15"/>
          <w:sz w:val="32"/>
          <w:szCs w:val="32"/>
        </w:rPr>
      </w:pPr>
    </w:p>
    <w:p>
      <w:pPr>
        <w:ind w:firstLine="276" w:firstLineChars="200"/>
        <w:jc w:val="center"/>
        <w:rPr>
          <w:rFonts w:eastAsia="仿宋_GB2312"/>
          <w:color w:val="FF0000"/>
          <w:w w:val="66"/>
          <w:kern w:val="15"/>
          <w:szCs w:val="21"/>
        </w:rPr>
      </w:pPr>
    </w:p>
    <w:p>
      <w:pPr>
        <w:spacing w:beforeLines="60"/>
        <w:ind w:firstLine="1162" w:firstLineChars="200"/>
        <w:jc w:val="center"/>
        <w:rPr>
          <w:rFonts w:eastAsia="仿宋_GB2312"/>
          <w:color w:val="FF0000"/>
          <w:spacing w:val="-26"/>
          <w:w w:val="66"/>
          <w:kern w:val="15"/>
          <w:sz w:val="96"/>
          <w:szCs w:val="96"/>
        </w:rPr>
      </w:pPr>
    </w:p>
    <w:p>
      <w:pPr>
        <w:spacing w:line="400" w:lineRule="exact"/>
        <w:ind w:firstLine="640" w:firstLineChars="200"/>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center"/>
        <w:textAlignment w:val="auto"/>
        <w:rPr>
          <w:rFonts w:eastAsia="仿宋_GB2312"/>
          <w:sz w:val="32"/>
          <w:szCs w:val="32"/>
        </w:rPr>
      </w:pPr>
    </w:p>
    <w:p>
      <w:pPr>
        <w:spacing w:line="600" w:lineRule="exact"/>
        <w:jc w:val="center"/>
        <w:rPr>
          <w:sz w:val="32"/>
        </w:rPr>
      </w:pPr>
      <w:r>
        <w:rPr>
          <w:rFonts w:hint="eastAsia" w:eastAsia="仿宋_GB2312"/>
          <w:sz w:val="32"/>
          <w:szCs w:val="32"/>
        </w:rPr>
        <w:t>津</w:t>
      </w:r>
      <w:r>
        <w:rPr>
          <w:rFonts w:hint="eastAsia" w:eastAsia="仿宋_GB2312"/>
          <w:sz w:val="32"/>
          <w:szCs w:val="32"/>
          <w:lang w:eastAsia="zh-CN"/>
        </w:rPr>
        <w:t>道</w:t>
      </w:r>
      <w:r>
        <w:rPr>
          <w:rFonts w:hint="default" w:ascii="Times New Roman" w:hAnsi="Times New Roman" w:eastAsia="仿宋_GB2312" w:cs="Times New Roman"/>
          <w:sz w:val="32"/>
          <w:szCs w:val="32"/>
          <w:lang w:eastAsia="zh-CN"/>
        </w:rPr>
        <w:t>运</w:t>
      </w:r>
      <w:r>
        <w:rPr>
          <w:rFonts w:hint="default" w:ascii="Times New Roman" w:hAnsi="Times New Roman" w:eastAsia="仿宋_GB2312" w:cs="Times New Roman"/>
          <w:sz w:val="32"/>
          <w:szCs w:val="32"/>
        </w:rPr>
        <w:t>规</w:t>
      </w:r>
      <w:r>
        <w:rPr>
          <w:rFonts w:eastAsia="仿宋_GB2312"/>
          <w:sz w:val="32"/>
        </w:rPr>
        <w:t>〔20</w:t>
      </w:r>
      <w:r>
        <w:rPr>
          <w:rFonts w:hint="eastAsia" w:eastAsia="仿宋_GB2312"/>
          <w:sz w:val="32"/>
        </w:rPr>
        <w:t>2</w:t>
      </w:r>
      <w:r>
        <w:rPr>
          <w:rFonts w:hint="eastAsia" w:eastAsia="仿宋_GB2312"/>
          <w:sz w:val="32"/>
          <w:lang w:val="en-US" w:eastAsia="zh-CN"/>
        </w:rPr>
        <w:t>1</w:t>
      </w:r>
      <w:r>
        <w:rPr>
          <w:rFonts w:eastAsia="仿宋_GB2312"/>
          <w:sz w:val="32"/>
        </w:rPr>
        <w:t>〕</w:t>
      </w:r>
      <w:r>
        <w:rPr>
          <w:rFonts w:hint="eastAsia" w:eastAsia="仿宋_GB2312"/>
          <w:sz w:val="32"/>
          <w:lang w:val="en-US" w:eastAsia="zh-CN"/>
        </w:rPr>
        <w:t>7</w:t>
      </w:r>
      <w:r>
        <w:rPr>
          <w:rFonts w:eastAsia="仿宋_GB2312"/>
          <w:sz w:val="32"/>
        </w:rPr>
        <w:t>号</w:t>
      </w:r>
    </w:p>
    <w:p>
      <w:pPr>
        <w:spacing w:line="560" w:lineRule="exact"/>
        <w:ind w:firstLine="640" w:firstLineChars="200"/>
        <w:jc w:val="center"/>
        <w:rPr>
          <w:sz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ascii="方正小标宋简体" w:eastAsia="方正小标宋简体"/>
          <w:sz w:val="44"/>
          <w:szCs w:val="44"/>
        </w:rPr>
      </w:pPr>
    </w:p>
    <w:p>
      <w:pPr>
        <w:pStyle w:val="4"/>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简体"/>
          <w:sz w:val="44"/>
          <w:szCs w:val="44"/>
          <w:lang w:eastAsia="zh-CN"/>
        </w:rPr>
      </w:pPr>
      <w:bookmarkStart w:id="0" w:name="OLE_LINK1"/>
      <w:r>
        <w:rPr>
          <w:rFonts w:eastAsia="方正小标宋简体"/>
          <w:sz w:val="44"/>
          <w:szCs w:val="44"/>
        </w:rPr>
        <w:t>天津市</w:t>
      </w:r>
      <w:r>
        <w:rPr>
          <w:rFonts w:hint="eastAsia" w:eastAsia="方正小标宋简体"/>
          <w:sz w:val="44"/>
          <w:szCs w:val="44"/>
          <w:lang w:eastAsia="zh-CN"/>
        </w:rPr>
        <w:t>道路运输管理局关于印发天津市</w:t>
      </w:r>
    </w:p>
    <w:p>
      <w:pPr>
        <w:pStyle w:val="4"/>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简体"/>
          <w:sz w:val="44"/>
          <w:szCs w:val="44"/>
          <w:lang w:eastAsia="zh-CN"/>
        </w:rPr>
      </w:pPr>
      <w:r>
        <w:rPr>
          <w:rFonts w:hint="eastAsia" w:eastAsia="方正小标宋简体"/>
          <w:sz w:val="44"/>
          <w:szCs w:val="44"/>
          <w:lang w:eastAsia="zh-CN"/>
        </w:rPr>
        <w:t>公共（电）车线路经营权招投</w:t>
      </w:r>
    </w:p>
    <w:p>
      <w:pPr>
        <w:pStyle w:val="4"/>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eastAsia="方正小标宋简体"/>
          <w:sz w:val="44"/>
          <w:szCs w:val="44"/>
          <w:lang w:eastAsia="zh-CN"/>
        </w:rPr>
      </w:pPr>
      <w:r>
        <w:rPr>
          <w:rFonts w:hint="eastAsia" w:eastAsia="方正小标宋简体"/>
          <w:sz w:val="44"/>
          <w:szCs w:val="44"/>
          <w:lang w:eastAsia="zh-CN"/>
        </w:rPr>
        <w:t>标管理办法的通知</w:t>
      </w:r>
    </w:p>
    <w:p>
      <w:pPr>
        <w:pStyle w:val="4"/>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ascii="方正小标宋简体" w:hAnsi="Times New Roman" w:eastAsia="方正小标宋简体" w:cs="Times New Roman"/>
          <w:sz w:val="44"/>
          <w:szCs w:val="44"/>
        </w:rPr>
      </w:pPr>
    </w:p>
    <w:bookmarkEnd w:id="0"/>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各区交通运输主管部门</w:t>
      </w:r>
      <w:r>
        <w:rPr>
          <w:rFonts w:hint="eastAsia" w:ascii="Times New Roman" w:hAnsi="Times New Roman" w:eastAsia="仿宋_GB2312" w:cs="Times New Roman"/>
          <w:sz w:val="32"/>
          <w:szCs w:val="32"/>
          <w:shd w:val="clear" w:color="auto" w:fill="FFFFFF"/>
        </w:rPr>
        <w:t>、各公交企业、各有关单位</w:t>
      </w:r>
      <w:r>
        <w:rPr>
          <w:rFonts w:ascii="Times New Roman" w:hAnsi="Times New Roman" w:eastAsia="仿宋_GB2312" w:cs="Times New Roman"/>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880"/>
        <w:textAlignment w:val="auto"/>
        <w:rPr>
          <w:rFonts w:ascii="方正小标宋简体" w:eastAsia="方正小标宋简体"/>
          <w:sz w:val="44"/>
          <w:szCs w:val="44"/>
        </w:rPr>
      </w:pPr>
      <w:r>
        <w:rPr>
          <w:rFonts w:hint="eastAsia" w:ascii="Times New Roman" w:hAnsi="Times New Roman" w:eastAsia="仿宋_GB2312" w:cs="Times New Roman"/>
          <w:sz w:val="32"/>
          <w:szCs w:val="32"/>
          <w:shd w:val="clear" w:color="auto" w:fill="FFFFFF"/>
        </w:rPr>
        <w:t>现将修订后的《天津市公共汽（电）车线路经营权招投标管理办法》印发给你们，</w:t>
      </w:r>
      <w:r>
        <w:rPr>
          <w:rFonts w:ascii="Times New Roman" w:hAnsi="Times New Roman" w:eastAsia="仿宋_GB2312" w:cs="Times New Roman"/>
          <w:sz w:val="32"/>
          <w:szCs w:val="32"/>
          <w:shd w:val="clear" w:color="auto" w:fill="FFFFFF"/>
        </w:rPr>
        <w:t>请认真贯彻执行。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仿宋_GB2312"/>
          <w:sz w:val="32"/>
          <w:szCs w:val="32"/>
        </w:rPr>
      </w:pPr>
      <w:r>
        <w:rPr>
          <w:rFonts w:hint="eastAsia" w:eastAsia="仿宋_GB2312"/>
          <w:sz w:val="32"/>
          <w:szCs w:val="32"/>
        </w:rPr>
        <w:t xml:space="preserve">                                202</w:t>
      </w:r>
      <w:r>
        <w:rPr>
          <w:rFonts w:hint="eastAsia" w:eastAsia="仿宋_GB2312"/>
          <w:sz w:val="32"/>
          <w:szCs w:val="32"/>
          <w:lang w:val="en-US" w:eastAsia="zh-CN"/>
        </w:rPr>
        <w:t>1</w:t>
      </w:r>
      <w:r>
        <w:rPr>
          <w:rFonts w:hint="eastAsia" w:eastAsia="仿宋_GB2312"/>
          <w:sz w:val="32"/>
          <w:szCs w:val="32"/>
        </w:rPr>
        <w:t>年</w:t>
      </w:r>
      <w:r>
        <w:rPr>
          <w:rFonts w:hint="eastAsia" w:eastAsia="仿宋_GB2312"/>
          <w:sz w:val="32"/>
          <w:szCs w:val="32"/>
          <w:lang w:val="en-US" w:eastAsia="zh-CN"/>
        </w:rPr>
        <w:t>1</w:t>
      </w:r>
      <w:r>
        <w:rPr>
          <w:rFonts w:hint="eastAsia" w:eastAsia="仿宋_GB2312"/>
          <w:sz w:val="32"/>
          <w:szCs w:val="32"/>
        </w:rPr>
        <w:t>月</w:t>
      </w:r>
      <w:r>
        <w:rPr>
          <w:rFonts w:hint="eastAsia" w:eastAsia="仿宋_GB2312"/>
          <w:sz w:val="32"/>
          <w:szCs w:val="32"/>
          <w:lang w:val="en-US" w:eastAsia="zh-CN"/>
        </w:rPr>
        <w:t>15</w:t>
      </w:r>
      <w:r>
        <w:rPr>
          <w:rFonts w:hint="eastAsia"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color w:val="000000" w:themeColor="text1"/>
          <w:kern w:val="36"/>
          <w:sz w:val="32"/>
          <w:szCs w:val="32"/>
        </w:rPr>
      </w:pPr>
      <w:r>
        <w:rPr>
          <w:rFonts w:hint="eastAsia" w:eastAsia="仿宋_GB2312"/>
          <w:sz w:val="32"/>
          <w:szCs w:val="32"/>
          <w:lang w:eastAsia="zh-CN"/>
        </w:rPr>
        <w:t>　　</w:t>
      </w:r>
    </w:p>
    <w:p>
      <w:pPr>
        <w:spacing w:line="640" w:lineRule="exact"/>
        <w:ind w:firstLine="880"/>
        <w:jc w:val="center"/>
        <w:rPr>
          <w:rFonts w:ascii="方正小标宋简体" w:eastAsia="方正小标宋简体"/>
          <w:sz w:val="44"/>
          <w:szCs w:val="44"/>
        </w:rPr>
      </w:pPr>
      <w:r>
        <w:rPr>
          <w:rFonts w:hint="eastAsia" w:ascii="方正小标宋简体" w:eastAsia="方正小标宋简体"/>
          <w:sz w:val="44"/>
          <w:szCs w:val="44"/>
        </w:rPr>
        <w:t>天津市公共汽（电）车线路经营权</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招投标管理办法</w:t>
      </w:r>
    </w:p>
    <w:p>
      <w:pPr>
        <w:spacing w:line="600" w:lineRule="exact"/>
        <w:rPr>
          <w:rFonts w:ascii="仿宋_GB2312" w:eastAsia="仿宋_GB2312"/>
          <w:sz w:val="32"/>
          <w:szCs w:val="32"/>
        </w:rPr>
      </w:pP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第一条</w:t>
      </w:r>
      <w:r>
        <w:rPr>
          <w:rFonts w:ascii="Times New Roman" w:hAnsi="Times New Roman" w:eastAsia="仿宋_GB2312" w:cs="Times New Roman"/>
          <w:sz w:val="32"/>
          <w:szCs w:val="32"/>
        </w:rPr>
        <w:t xml:space="preserve">  为促进本市公共汽（电）车行业的发展，优化公共汽（电）车线路资源配置，规范公共汽（电）车线路经营权招投标的管理，根据《中华人民共和国招标投标法》和《天津市客运公共交通管理条例》等相关法律、法规的规定，制定本办法。</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第二条</w:t>
      </w:r>
      <w:r>
        <w:rPr>
          <w:rFonts w:ascii="Times New Roman" w:hAnsi="Times New Roman" w:eastAsia="仿宋_GB2312" w:cs="Times New Roman"/>
          <w:sz w:val="32"/>
          <w:szCs w:val="32"/>
        </w:rPr>
        <w:t xml:space="preserve">  本市行政区域内公共汽（电）车线路经营权的招投标活动适用本办法。</w:t>
      </w:r>
    </w:p>
    <w:p>
      <w:pPr>
        <w:ind w:firstLine="643"/>
        <w:rPr>
          <w:rFonts w:ascii="Times New Roman" w:hAnsi="Times New Roman" w:eastAsia="仿宋_GB2312" w:cs="Times New Roman"/>
          <w:b/>
          <w:sz w:val="32"/>
          <w:szCs w:val="32"/>
        </w:rPr>
      </w:pPr>
      <w:r>
        <w:rPr>
          <w:rFonts w:hint="eastAsia" w:ascii="黑体" w:hAnsi="黑体" w:eastAsia="黑体" w:cs="黑体"/>
          <w:b w:val="0"/>
          <w:bCs/>
          <w:sz w:val="32"/>
          <w:szCs w:val="32"/>
        </w:rPr>
        <w:t>第三条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市和区交通运输行政管理部门应当根据规模经营、适度竞争的原则，综合考虑运力配置、社会公众需求、社会公众安全等因素，通过服务质量招投标的方式选择运营企业，授予公共汽（电）车线路经营权。</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 xml:space="preserve">第四条 </w:t>
      </w:r>
      <w:r>
        <w:rPr>
          <w:rFonts w:ascii="Times New Roman" w:hAnsi="Times New Roman" w:eastAsia="仿宋_GB2312" w:cs="Times New Roman"/>
          <w:sz w:val="32"/>
          <w:szCs w:val="32"/>
        </w:rPr>
        <w:t xml:space="preserve"> 天津市道路运输管理局负责组织实施首末站和行经路线在中心城区、环城四区及跨区的公共汽（电）车线路经营权的招投标工作。</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滨海新区、武清区、宝坻区、静海区、宁河区、蓟州区（以下统称区）交通运输行政管理部门负责首末站和行经路线在本辖区内的公共汽（电）车线路经营权的招投标工作。</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第五条</w:t>
      </w:r>
      <w:r>
        <w:rPr>
          <w:rFonts w:ascii="Times New Roman" w:hAnsi="Times New Roman" w:eastAsia="仿宋_GB2312" w:cs="Times New Roman"/>
          <w:sz w:val="32"/>
          <w:szCs w:val="32"/>
        </w:rPr>
        <w:t xml:space="preserve">  公共汽（电）车线路经营权招投标活动应当遵循公开、公平、公正、诚实信用和科学量化的原则。 </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第六条</w:t>
      </w:r>
      <w:r>
        <w:rPr>
          <w:rFonts w:ascii="Times New Roman" w:hAnsi="Times New Roman" w:eastAsia="仿宋_GB2312" w:cs="Times New Roman"/>
          <w:sz w:val="32"/>
          <w:szCs w:val="32"/>
        </w:rPr>
        <w:t xml:space="preserve">  对新开辟的线路、需要重新确定经营者的线路，应当通过招投标方式授予线路经营权。</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天津市道路运输管理局和区交通运输行政管理部门应当根据线路增设、调整的年度计划，组织线路经营权的招投标工作。</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第七条</w:t>
      </w:r>
      <w:r>
        <w:rPr>
          <w:rFonts w:ascii="Times New Roman" w:hAnsi="Times New Roman" w:eastAsia="仿宋_GB2312" w:cs="Times New Roman"/>
          <w:sz w:val="32"/>
          <w:szCs w:val="32"/>
        </w:rPr>
        <w:t xml:space="preserve">  通过招投标方式授予线路经营权期限为八年。</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线路经营权期限届满六个月前，经营者可以向天津市道路运输管理局或区交通运输行政管理部门提出延长线路经营权期限的书面申请，经考核评估后符合条件的，可以延长经营者线路经营权期限，延长期限不得超过八年。 </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 xml:space="preserve">第八条 </w:t>
      </w:r>
      <w:r>
        <w:rPr>
          <w:rFonts w:ascii="Times New Roman" w:hAnsi="Times New Roman" w:eastAsia="仿宋_GB2312" w:cs="Times New Roman"/>
          <w:sz w:val="32"/>
          <w:szCs w:val="32"/>
        </w:rPr>
        <w:t xml:space="preserve"> 投标人应当具备下列条件：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（一）依法取得从事客运公共交通业务的《企业法人营业执照》；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（二）拥有符合国家和本市有关公共汽（电）车车辆技术要求的、与线路经营实际相符的客运车辆，或者具有相应的车辆购置资金；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（三）具有健全的运营、服务、安全等方面的管理制度；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（四）具有相应的管理人员及合格的驾驶员、调度员等人员；</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（五）具有合理可行、符合安全运营要求的线路运营方案。</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第九条</w:t>
      </w:r>
      <w:r>
        <w:rPr>
          <w:rFonts w:ascii="Times New Roman" w:hAnsi="Times New Roman" w:eastAsia="仿宋_GB2312" w:cs="Times New Roman"/>
          <w:sz w:val="32"/>
          <w:szCs w:val="32"/>
        </w:rPr>
        <w:t xml:space="preserve">  线路经营权的招标应当采取公开招标的方式，并符合以下程序：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（一）编制招标文件，发出招标公告；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（二）投标者交纳投标保证金，编制投标文件，递交投标文件；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（三）开标；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（四）评标委员会进行评标；</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（五）公示；</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（六）发出中标通知书； </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（七）与中标人签订线路经营协议。</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 xml:space="preserve">第十条 </w:t>
      </w:r>
      <w:r>
        <w:rPr>
          <w:rFonts w:ascii="Times New Roman" w:hAnsi="Times New Roman" w:eastAsia="仿宋_GB2312" w:cs="Times New Roman"/>
          <w:sz w:val="32"/>
          <w:szCs w:val="32"/>
        </w:rPr>
        <w:t xml:space="preserve"> 开标时应当邀请所有投标者参加，由投标者或者推选的代表检查投标文件的密封情况后，当众拆封。</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 xml:space="preserve">第十一条 </w:t>
      </w:r>
      <w:r>
        <w:rPr>
          <w:rFonts w:ascii="Times New Roman" w:hAnsi="Times New Roman" w:eastAsia="仿宋_GB2312" w:cs="Times New Roman"/>
          <w:sz w:val="32"/>
          <w:szCs w:val="32"/>
        </w:rPr>
        <w:t xml:space="preserve"> 评标委员会委员数量为不少于5人的单数，其中技术、经济等方面的专家不得少于成员总数的三分之二。</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第十二条</w:t>
      </w:r>
      <w:r>
        <w:rPr>
          <w:rFonts w:ascii="Times New Roman" w:hAnsi="Times New Roman" w:eastAsia="仿宋_GB2312" w:cs="Times New Roman"/>
          <w:sz w:val="32"/>
          <w:szCs w:val="32"/>
        </w:rPr>
        <w:t xml:space="preserve">  中标人应当在招标文件规定的时限内，按照中标方案投入足够车辆，提供全面、稳定和优质的公共汽（电）车服务。</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中标人应当在收到中标通知书之日起三十日内，与天津市道路运输管理局或区交通运输行政管理部门签订线路经营协议。</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签订线路经营协议后，天津市道路运输管理局或区交通运输行政管理部门应当向中标的经营者核发线路经营权证书。</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第十三条</w:t>
      </w:r>
      <w:r>
        <w:rPr>
          <w:rFonts w:ascii="Times New Roman" w:hAnsi="Times New Roman" w:eastAsia="仿宋_GB2312" w:cs="Times New Roman"/>
          <w:sz w:val="32"/>
          <w:szCs w:val="32"/>
        </w:rPr>
        <w:t xml:space="preserve">  经营者未按线路经营协议确定的日期开通线路的，天津市道路运输管理局或区交通运输行政管理部门有权依照线路经营协议收回线路经营权。</w:t>
      </w:r>
    </w:p>
    <w:p>
      <w:pPr>
        <w:ind w:firstLine="643"/>
        <w:rPr>
          <w:rFonts w:ascii="Times New Roman" w:hAnsi="Times New Roman" w:eastAsia="仿宋_GB2312" w:cs="Times New Roman"/>
          <w:sz w:val="32"/>
          <w:szCs w:val="32"/>
        </w:rPr>
      </w:pPr>
      <w:r>
        <w:rPr>
          <w:rFonts w:hint="eastAsia" w:ascii="黑体" w:hAnsi="黑体" w:eastAsia="黑体" w:cs="黑体"/>
          <w:b w:val="0"/>
          <w:bCs/>
          <w:sz w:val="32"/>
          <w:szCs w:val="32"/>
        </w:rPr>
        <w:t xml:space="preserve">第十四条 </w:t>
      </w:r>
      <w:r>
        <w:rPr>
          <w:rFonts w:ascii="Times New Roman" w:hAnsi="Times New Roman" w:eastAsia="仿宋_GB2312" w:cs="Times New Roman"/>
          <w:sz w:val="32"/>
          <w:szCs w:val="32"/>
        </w:rPr>
        <w:t xml:space="preserve"> 天津市道路运输管理局或区交通运输行政管理部门应当建立客运公共交通运营服务质量评议考核制度，定期对线路经营者的安全生产、作业计划执行、车辆设施、服务设施、乘客满意度调查、投诉处理、遵章守纪等情况进行评议考核。</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在抽查和年度考核中发现中标人有违法、违约行为的，按照有关规定处理。</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黑体"/>
          <w:b w:val="0"/>
          <w:bCs/>
          <w:sz w:val="32"/>
          <w:szCs w:val="32"/>
        </w:rPr>
        <w:t xml:space="preserve">第十五条 </w:t>
      </w:r>
      <w:r>
        <w:rPr>
          <w:rFonts w:ascii="Times New Roman" w:hAnsi="Times New Roman" w:eastAsia="仿宋_GB2312" w:cs="Times New Roman"/>
          <w:sz w:val="32"/>
          <w:szCs w:val="32"/>
        </w:rPr>
        <w:t xml:space="preserve"> 本办法自2021年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日起施行，有效期5年。</w:t>
      </w:r>
    </w:p>
    <w:p>
      <w:pPr>
        <w:spacing w:line="600" w:lineRule="exact"/>
        <w:ind w:firstLine="640" w:firstLineChars="200"/>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Times New Roman" w:hAnsi="Times New Roman" w:eastAsia="仿宋_GB2312" w:cs="Times New Roman"/>
          <w:color w:val="000000" w:themeColor="text1"/>
          <w:kern w:val="36"/>
          <w:sz w:val="32"/>
          <w:szCs w:val="32"/>
        </w:rPr>
      </w:pPr>
    </w:p>
    <w:p>
      <w:pPr>
        <w:pStyle w:val="2"/>
        <w:rPr>
          <w:rFonts w:ascii="Times New Roman" w:hAnsi="Times New Roman" w:eastAsia="仿宋_GB2312" w:cs="Times New Roman"/>
          <w:color w:val="000000" w:themeColor="text1"/>
          <w:kern w:val="36"/>
          <w:sz w:val="32"/>
          <w:szCs w:val="32"/>
        </w:rPr>
      </w:pPr>
    </w:p>
    <w:p>
      <w:pPr>
        <w:rPr>
          <w:rFonts w:ascii="Times New Roman" w:hAnsi="Times New Roman" w:eastAsia="仿宋_GB2312" w:cs="Times New Roman"/>
          <w:color w:val="000000" w:themeColor="text1"/>
          <w:kern w:val="36"/>
          <w:sz w:val="32"/>
          <w:szCs w:val="32"/>
        </w:rPr>
      </w:pPr>
      <w:bookmarkStart w:id="1" w:name="_GoBack"/>
    </w:p>
    <w:p>
      <w:pPr>
        <w:pStyle w:val="2"/>
        <w:keepNext/>
        <w:keepLines w:val="0"/>
        <w:pageBreakBefore w:val="0"/>
        <w:widowControl w:val="0"/>
        <w:kinsoku/>
        <w:wordWrap/>
        <w:overflowPunct/>
        <w:topLinePunct w:val="0"/>
        <w:autoSpaceDE/>
        <w:autoSpaceDN/>
        <w:bidi w:val="0"/>
        <w:adjustRightInd/>
        <w:snapToGrid w:val="0"/>
        <w:spacing w:line="540" w:lineRule="exact"/>
        <w:textAlignment w:val="auto"/>
      </w:pPr>
    </w:p>
    <w:p/>
    <w:p>
      <w:pPr>
        <w:pStyle w:val="2"/>
      </w:pPr>
    </w:p>
    <w:p/>
    <w:p>
      <w:pPr>
        <w:pStyle w:val="2"/>
        <w:keepNext/>
        <w:keepLines w:val="0"/>
        <w:pageBreakBefore w:val="0"/>
        <w:widowControl w:val="0"/>
        <w:kinsoku/>
        <w:wordWrap/>
        <w:overflowPunct/>
        <w:topLinePunct w:val="0"/>
        <w:autoSpaceDE/>
        <w:autoSpaceDN/>
        <w:bidi w:val="0"/>
        <w:adjustRightInd/>
        <w:snapToGrid/>
        <w:spacing w:line="280" w:lineRule="exact"/>
        <w:textAlignment w:val="auto"/>
      </w:pPr>
    </w:p>
    <w:p/>
    <w:p>
      <w:pPr>
        <w:pStyle w:val="2"/>
      </w:pPr>
    </w:p>
    <w:p/>
    <w:p>
      <w:pPr>
        <w:keepNext w:val="0"/>
        <w:keepLines w:val="0"/>
        <w:pageBreakBefore w:val="0"/>
        <w:widowControl w:val="0"/>
        <w:kinsoku/>
        <w:wordWrap/>
        <w:overflowPunct/>
        <w:topLinePunct w:val="0"/>
        <w:autoSpaceDE/>
        <w:autoSpaceDN/>
        <w:bidi w:val="0"/>
        <w:adjustRightInd/>
        <w:snapToGrid/>
        <w:spacing w:line="20" w:lineRule="exact"/>
        <w:textAlignment w:val="auto"/>
      </w:pPr>
    </w:p>
    <w:p/>
    <w:p>
      <w:pPr>
        <w:pStyle w:val="2"/>
      </w:pPr>
    </w:p>
    <w:p/>
    <w:p>
      <w:pPr>
        <w:pStyle w:val="2"/>
      </w:pPr>
    </w:p>
    <w:p/>
    <w:p>
      <w:pPr>
        <w:pStyle w:val="2"/>
      </w:pPr>
    </w:p>
    <w:p/>
    <w:p>
      <w:pPr>
        <w:pStyle w:val="2"/>
      </w:pPr>
    </w:p>
    <w:p/>
    <w:bookmarkEnd w:id="1"/>
    <w:p>
      <w:pPr>
        <w:pStyle w:val="2"/>
      </w:pPr>
    </w:p>
    <w:p/>
    <w:p>
      <w:pPr>
        <w:pStyle w:val="2"/>
      </w:pPr>
    </w:p>
    <w:p/>
    <w:p>
      <w:pPr>
        <w:pStyle w:val="2"/>
      </w:pPr>
    </w:p>
    <w:p/>
    <w:p>
      <w:pPr>
        <w:pStyle w:val="2"/>
        <w:keepNext/>
        <w:keepLines w:val="0"/>
        <w:pageBreakBefore w:val="0"/>
        <w:widowControl w:val="0"/>
        <w:kinsoku/>
        <w:wordWrap/>
        <w:overflowPunct/>
        <w:topLinePunct w:val="0"/>
        <w:autoSpaceDE/>
        <w:autoSpaceDN/>
        <w:bidi w:val="0"/>
        <w:adjustRightInd/>
        <w:snapToGrid/>
        <w:spacing w:line="460" w:lineRule="exact"/>
        <w:textAlignment w:val="auto"/>
      </w:pPr>
    </w:p>
    <w:sectPr>
      <w:headerReference r:id="rId3" w:type="default"/>
      <w:footerReference r:id="rId4" w:type="default"/>
      <w:footerReference r:id="rId5" w:type="even"/>
      <w:pgSz w:w="11906" w:h="16838"/>
      <w:pgMar w:top="2098" w:right="1474" w:bottom="2154" w:left="1587"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20" w:leftChars="200" w:right="420" w:rightChars="200"/>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- 2 -</w:t>
    </w:r>
    <w:r>
      <w:rPr>
        <w:rFonts w:ascii="宋体" w:hAnsi="宋体"/>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xMzM4YTU2YjMxZDIwYWMzZTU0NTZmMDM2NWY5OTYifQ=="/>
  </w:docVars>
  <w:rsids>
    <w:rsidRoot w:val="00820CA8"/>
    <w:rsid w:val="00017754"/>
    <w:rsid w:val="0002406D"/>
    <w:rsid w:val="00034BC4"/>
    <w:rsid w:val="0003720E"/>
    <w:rsid w:val="00050E1E"/>
    <w:rsid w:val="00053A38"/>
    <w:rsid w:val="00054194"/>
    <w:rsid w:val="00057B8B"/>
    <w:rsid w:val="00060394"/>
    <w:rsid w:val="000604BF"/>
    <w:rsid w:val="00080359"/>
    <w:rsid w:val="0009170D"/>
    <w:rsid w:val="00092E92"/>
    <w:rsid w:val="000933C0"/>
    <w:rsid w:val="000A169F"/>
    <w:rsid w:val="000A6607"/>
    <w:rsid w:val="000A78CA"/>
    <w:rsid w:val="000A7C7C"/>
    <w:rsid w:val="000B4D74"/>
    <w:rsid w:val="000C55D3"/>
    <w:rsid w:val="000D0B77"/>
    <w:rsid w:val="000D1C55"/>
    <w:rsid w:val="000E3609"/>
    <w:rsid w:val="000F6F99"/>
    <w:rsid w:val="00100609"/>
    <w:rsid w:val="0010367A"/>
    <w:rsid w:val="001056A6"/>
    <w:rsid w:val="00120B5B"/>
    <w:rsid w:val="001338DD"/>
    <w:rsid w:val="001371B2"/>
    <w:rsid w:val="0014634F"/>
    <w:rsid w:val="00147017"/>
    <w:rsid w:val="00157220"/>
    <w:rsid w:val="001654D4"/>
    <w:rsid w:val="001673A1"/>
    <w:rsid w:val="00167406"/>
    <w:rsid w:val="001767D0"/>
    <w:rsid w:val="00177F78"/>
    <w:rsid w:val="00181AFD"/>
    <w:rsid w:val="001841C6"/>
    <w:rsid w:val="00185B4D"/>
    <w:rsid w:val="001902CE"/>
    <w:rsid w:val="0019349D"/>
    <w:rsid w:val="00194F85"/>
    <w:rsid w:val="0019726E"/>
    <w:rsid w:val="00197408"/>
    <w:rsid w:val="001A181D"/>
    <w:rsid w:val="001A28EB"/>
    <w:rsid w:val="001A56B2"/>
    <w:rsid w:val="001B47A3"/>
    <w:rsid w:val="001B7838"/>
    <w:rsid w:val="001C1E92"/>
    <w:rsid w:val="001C6088"/>
    <w:rsid w:val="001C6F12"/>
    <w:rsid w:val="001D43A5"/>
    <w:rsid w:val="002001D4"/>
    <w:rsid w:val="0020042F"/>
    <w:rsid w:val="00214126"/>
    <w:rsid w:val="0021529F"/>
    <w:rsid w:val="00215B66"/>
    <w:rsid w:val="002434A5"/>
    <w:rsid w:val="002459DE"/>
    <w:rsid w:val="00246698"/>
    <w:rsid w:val="00256759"/>
    <w:rsid w:val="00276904"/>
    <w:rsid w:val="002779CD"/>
    <w:rsid w:val="00291883"/>
    <w:rsid w:val="00294408"/>
    <w:rsid w:val="002A12E1"/>
    <w:rsid w:val="002A1C0B"/>
    <w:rsid w:val="002A50BF"/>
    <w:rsid w:val="002B2526"/>
    <w:rsid w:val="002B6E16"/>
    <w:rsid w:val="002C38BB"/>
    <w:rsid w:val="002C40EA"/>
    <w:rsid w:val="002D7908"/>
    <w:rsid w:val="002E00D0"/>
    <w:rsid w:val="002E1752"/>
    <w:rsid w:val="002E5358"/>
    <w:rsid w:val="002F078A"/>
    <w:rsid w:val="002F133F"/>
    <w:rsid w:val="002F3A10"/>
    <w:rsid w:val="002F3AF0"/>
    <w:rsid w:val="002F4162"/>
    <w:rsid w:val="00306483"/>
    <w:rsid w:val="0032300A"/>
    <w:rsid w:val="0032483C"/>
    <w:rsid w:val="003315B6"/>
    <w:rsid w:val="0033241C"/>
    <w:rsid w:val="00333558"/>
    <w:rsid w:val="00345483"/>
    <w:rsid w:val="00345A8D"/>
    <w:rsid w:val="003516A7"/>
    <w:rsid w:val="003561B7"/>
    <w:rsid w:val="003563B6"/>
    <w:rsid w:val="003654BA"/>
    <w:rsid w:val="00365D71"/>
    <w:rsid w:val="003730FC"/>
    <w:rsid w:val="003733DE"/>
    <w:rsid w:val="003913F9"/>
    <w:rsid w:val="00393396"/>
    <w:rsid w:val="00394390"/>
    <w:rsid w:val="003A1AEE"/>
    <w:rsid w:val="003B7624"/>
    <w:rsid w:val="003C1F07"/>
    <w:rsid w:val="003D607D"/>
    <w:rsid w:val="003D6465"/>
    <w:rsid w:val="003E0775"/>
    <w:rsid w:val="003E4CD7"/>
    <w:rsid w:val="003E7784"/>
    <w:rsid w:val="00406895"/>
    <w:rsid w:val="0040754D"/>
    <w:rsid w:val="00410D70"/>
    <w:rsid w:val="0041341C"/>
    <w:rsid w:val="00420273"/>
    <w:rsid w:val="004238BA"/>
    <w:rsid w:val="00426FB5"/>
    <w:rsid w:val="00461B36"/>
    <w:rsid w:val="004728DF"/>
    <w:rsid w:val="004750C2"/>
    <w:rsid w:val="00481780"/>
    <w:rsid w:val="00482D80"/>
    <w:rsid w:val="00487D33"/>
    <w:rsid w:val="00490649"/>
    <w:rsid w:val="004926DB"/>
    <w:rsid w:val="00496E36"/>
    <w:rsid w:val="004A72B1"/>
    <w:rsid w:val="004B2292"/>
    <w:rsid w:val="004B7333"/>
    <w:rsid w:val="004C0074"/>
    <w:rsid w:val="004D081D"/>
    <w:rsid w:val="004D223D"/>
    <w:rsid w:val="004D561D"/>
    <w:rsid w:val="004E29ED"/>
    <w:rsid w:val="004E6827"/>
    <w:rsid w:val="004E704D"/>
    <w:rsid w:val="004F0BCA"/>
    <w:rsid w:val="00506E5D"/>
    <w:rsid w:val="00507C6B"/>
    <w:rsid w:val="00513A8C"/>
    <w:rsid w:val="00520445"/>
    <w:rsid w:val="005337E1"/>
    <w:rsid w:val="00545319"/>
    <w:rsid w:val="00553B6A"/>
    <w:rsid w:val="00556F68"/>
    <w:rsid w:val="00577199"/>
    <w:rsid w:val="005778E8"/>
    <w:rsid w:val="0058227C"/>
    <w:rsid w:val="00583530"/>
    <w:rsid w:val="00591502"/>
    <w:rsid w:val="00594100"/>
    <w:rsid w:val="00595948"/>
    <w:rsid w:val="005A47A4"/>
    <w:rsid w:val="005B12A4"/>
    <w:rsid w:val="005B2E0E"/>
    <w:rsid w:val="005B7FF5"/>
    <w:rsid w:val="005C67FE"/>
    <w:rsid w:val="005D3AEF"/>
    <w:rsid w:val="005E25D0"/>
    <w:rsid w:val="005E366E"/>
    <w:rsid w:val="005F2516"/>
    <w:rsid w:val="006101DC"/>
    <w:rsid w:val="00611395"/>
    <w:rsid w:val="006127D9"/>
    <w:rsid w:val="00617878"/>
    <w:rsid w:val="006362E9"/>
    <w:rsid w:val="006414C9"/>
    <w:rsid w:val="00656C82"/>
    <w:rsid w:val="00656F8C"/>
    <w:rsid w:val="006620D8"/>
    <w:rsid w:val="00662370"/>
    <w:rsid w:val="00662596"/>
    <w:rsid w:val="00665599"/>
    <w:rsid w:val="00666CED"/>
    <w:rsid w:val="00686DA3"/>
    <w:rsid w:val="00691993"/>
    <w:rsid w:val="006956BE"/>
    <w:rsid w:val="006A6FA3"/>
    <w:rsid w:val="006B5766"/>
    <w:rsid w:val="006B5D67"/>
    <w:rsid w:val="006D680B"/>
    <w:rsid w:val="006E2756"/>
    <w:rsid w:val="006F3F33"/>
    <w:rsid w:val="006F5704"/>
    <w:rsid w:val="00701082"/>
    <w:rsid w:val="0070232B"/>
    <w:rsid w:val="0070518E"/>
    <w:rsid w:val="00706C27"/>
    <w:rsid w:val="007148F6"/>
    <w:rsid w:val="00714C3A"/>
    <w:rsid w:val="00725A27"/>
    <w:rsid w:val="007263C5"/>
    <w:rsid w:val="00727DCA"/>
    <w:rsid w:val="00734BCD"/>
    <w:rsid w:val="007379AF"/>
    <w:rsid w:val="00741614"/>
    <w:rsid w:val="00760017"/>
    <w:rsid w:val="00761E66"/>
    <w:rsid w:val="0078654F"/>
    <w:rsid w:val="007A0610"/>
    <w:rsid w:val="007A1CFB"/>
    <w:rsid w:val="007A31E9"/>
    <w:rsid w:val="007B2E35"/>
    <w:rsid w:val="007B666C"/>
    <w:rsid w:val="007C231A"/>
    <w:rsid w:val="007C26B7"/>
    <w:rsid w:val="007C67E7"/>
    <w:rsid w:val="007D1156"/>
    <w:rsid w:val="007E0EFF"/>
    <w:rsid w:val="007F2423"/>
    <w:rsid w:val="007F356F"/>
    <w:rsid w:val="008006C1"/>
    <w:rsid w:val="00803504"/>
    <w:rsid w:val="008110D6"/>
    <w:rsid w:val="008117A0"/>
    <w:rsid w:val="00814677"/>
    <w:rsid w:val="00816D64"/>
    <w:rsid w:val="00817F24"/>
    <w:rsid w:val="00820CA8"/>
    <w:rsid w:val="008225F8"/>
    <w:rsid w:val="00827B19"/>
    <w:rsid w:val="008326DC"/>
    <w:rsid w:val="00855512"/>
    <w:rsid w:val="00855FBD"/>
    <w:rsid w:val="00866BA4"/>
    <w:rsid w:val="00877481"/>
    <w:rsid w:val="00885938"/>
    <w:rsid w:val="008873DB"/>
    <w:rsid w:val="008C471F"/>
    <w:rsid w:val="008D17FF"/>
    <w:rsid w:val="008D24DD"/>
    <w:rsid w:val="00900CB9"/>
    <w:rsid w:val="0092492A"/>
    <w:rsid w:val="00934E8D"/>
    <w:rsid w:val="00937E60"/>
    <w:rsid w:val="0095252C"/>
    <w:rsid w:val="00954ED2"/>
    <w:rsid w:val="00956D1B"/>
    <w:rsid w:val="009668FD"/>
    <w:rsid w:val="00987763"/>
    <w:rsid w:val="0099638F"/>
    <w:rsid w:val="009A1BD6"/>
    <w:rsid w:val="009B5DE2"/>
    <w:rsid w:val="009C22B9"/>
    <w:rsid w:val="009F2C7B"/>
    <w:rsid w:val="00A001C0"/>
    <w:rsid w:val="00A23F4E"/>
    <w:rsid w:val="00A26820"/>
    <w:rsid w:val="00A27302"/>
    <w:rsid w:val="00A27F90"/>
    <w:rsid w:val="00A347D8"/>
    <w:rsid w:val="00A428B9"/>
    <w:rsid w:val="00A45D56"/>
    <w:rsid w:val="00A527E9"/>
    <w:rsid w:val="00A55C05"/>
    <w:rsid w:val="00A567EF"/>
    <w:rsid w:val="00A571E5"/>
    <w:rsid w:val="00A63C53"/>
    <w:rsid w:val="00A75B9F"/>
    <w:rsid w:val="00A872F9"/>
    <w:rsid w:val="00A87AEC"/>
    <w:rsid w:val="00AA4732"/>
    <w:rsid w:val="00AB1E6B"/>
    <w:rsid w:val="00AC41C6"/>
    <w:rsid w:val="00AD5915"/>
    <w:rsid w:val="00AE5BAA"/>
    <w:rsid w:val="00AE5D13"/>
    <w:rsid w:val="00B1265E"/>
    <w:rsid w:val="00B160A0"/>
    <w:rsid w:val="00B24179"/>
    <w:rsid w:val="00B36C96"/>
    <w:rsid w:val="00B447EE"/>
    <w:rsid w:val="00B45735"/>
    <w:rsid w:val="00B45DA0"/>
    <w:rsid w:val="00B47547"/>
    <w:rsid w:val="00B5543D"/>
    <w:rsid w:val="00B577AB"/>
    <w:rsid w:val="00B665B1"/>
    <w:rsid w:val="00B76562"/>
    <w:rsid w:val="00B810DD"/>
    <w:rsid w:val="00B9035C"/>
    <w:rsid w:val="00B90C55"/>
    <w:rsid w:val="00B96942"/>
    <w:rsid w:val="00BA0B43"/>
    <w:rsid w:val="00BA576E"/>
    <w:rsid w:val="00BB43A1"/>
    <w:rsid w:val="00BB7910"/>
    <w:rsid w:val="00BC116B"/>
    <w:rsid w:val="00BC1E92"/>
    <w:rsid w:val="00BC641E"/>
    <w:rsid w:val="00BC66F4"/>
    <w:rsid w:val="00BD0B6E"/>
    <w:rsid w:val="00BE5646"/>
    <w:rsid w:val="00BE5DE1"/>
    <w:rsid w:val="00BE6CEA"/>
    <w:rsid w:val="00BE752C"/>
    <w:rsid w:val="00BF7047"/>
    <w:rsid w:val="00C0026E"/>
    <w:rsid w:val="00C0045C"/>
    <w:rsid w:val="00C01D7A"/>
    <w:rsid w:val="00C01ECA"/>
    <w:rsid w:val="00C152AF"/>
    <w:rsid w:val="00C209C9"/>
    <w:rsid w:val="00C25970"/>
    <w:rsid w:val="00C30D9C"/>
    <w:rsid w:val="00C477EE"/>
    <w:rsid w:val="00C5740A"/>
    <w:rsid w:val="00C73EDC"/>
    <w:rsid w:val="00C76035"/>
    <w:rsid w:val="00C76C7D"/>
    <w:rsid w:val="00C81B69"/>
    <w:rsid w:val="00C82210"/>
    <w:rsid w:val="00C83F02"/>
    <w:rsid w:val="00C870D9"/>
    <w:rsid w:val="00CA1593"/>
    <w:rsid w:val="00CA345A"/>
    <w:rsid w:val="00CA5144"/>
    <w:rsid w:val="00CB5FC1"/>
    <w:rsid w:val="00CC5C44"/>
    <w:rsid w:val="00CD2035"/>
    <w:rsid w:val="00CD4723"/>
    <w:rsid w:val="00D00006"/>
    <w:rsid w:val="00D11D35"/>
    <w:rsid w:val="00D13314"/>
    <w:rsid w:val="00D14EF7"/>
    <w:rsid w:val="00D24657"/>
    <w:rsid w:val="00D324EF"/>
    <w:rsid w:val="00D32CFD"/>
    <w:rsid w:val="00D36778"/>
    <w:rsid w:val="00D4057A"/>
    <w:rsid w:val="00D42EB1"/>
    <w:rsid w:val="00D442C5"/>
    <w:rsid w:val="00D452F7"/>
    <w:rsid w:val="00D536FD"/>
    <w:rsid w:val="00D54AB2"/>
    <w:rsid w:val="00D57883"/>
    <w:rsid w:val="00D60150"/>
    <w:rsid w:val="00D61EA6"/>
    <w:rsid w:val="00D62085"/>
    <w:rsid w:val="00D6511E"/>
    <w:rsid w:val="00D74FC3"/>
    <w:rsid w:val="00D75508"/>
    <w:rsid w:val="00D760B2"/>
    <w:rsid w:val="00D81019"/>
    <w:rsid w:val="00D8322B"/>
    <w:rsid w:val="00D86436"/>
    <w:rsid w:val="00D93A6B"/>
    <w:rsid w:val="00DB1100"/>
    <w:rsid w:val="00DB2299"/>
    <w:rsid w:val="00DB5919"/>
    <w:rsid w:val="00DB5C66"/>
    <w:rsid w:val="00DB6FB4"/>
    <w:rsid w:val="00DF0DE9"/>
    <w:rsid w:val="00DF5782"/>
    <w:rsid w:val="00DF7832"/>
    <w:rsid w:val="00E11D20"/>
    <w:rsid w:val="00E245C2"/>
    <w:rsid w:val="00E34CC6"/>
    <w:rsid w:val="00E37161"/>
    <w:rsid w:val="00E54D54"/>
    <w:rsid w:val="00E663F4"/>
    <w:rsid w:val="00E6714B"/>
    <w:rsid w:val="00E83B98"/>
    <w:rsid w:val="00E854F0"/>
    <w:rsid w:val="00E92200"/>
    <w:rsid w:val="00EA63AB"/>
    <w:rsid w:val="00EC105F"/>
    <w:rsid w:val="00EC1228"/>
    <w:rsid w:val="00EC3EEF"/>
    <w:rsid w:val="00EC5333"/>
    <w:rsid w:val="00ED2057"/>
    <w:rsid w:val="00EE2643"/>
    <w:rsid w:val="00EE36F2"/>
    <w:rsid w:val="00EE3E55"/>
    <w:rsid w:val="00F045BC"/>
    <w:rsid w:val="00F04A49"/>
    <w:rsid w:val="00F13D51"/>
    <w:rsid w:val="00F14B65"/>
    <w:rsid w:val="00F14B71"/>
    <w:rsid w:val="00F23D3B"/>
    <w:rsid w:val="00F24107"/>
    <w:rsid w:val="00F279B9"/>
    <w:rsid w:val="00F34F9D"/>
    <w:rsid w:val="00F37F8A"/>
    <w:rsid w:val="00F55443"/>
    <w:rsid w:val="00F6222D"/>
    <w:rsid w:val="00F70A40"/>
    <w:rsid w:val="00F71961"/>
    <w:rsid w:val="00F74ED4"/>
    <w:rsid w:val="00F80E09"/>
    <w:rsid w:val="00F84652"/>
    <w:rsid w:val="00F8705C"/>
    <w:rsid w:val="00F96FA2"/>
    <w:rsid w:val="00FA6750"/>
    <w:rsid w:val="00FB0EE0"/>
    <w:rsid w:val="00FB2016"/>
    <w:rsid w:val="00FC30FA"/>
    <w:rsid w:val="00FC3335"/>
    <w:rsid w:val="00FD2A70"/>
    <w:rsid w:val="00FD5ECB"/>
    <w:rsid w:val="00FF0521"/>
    <w:rsid w:val="01C64B54"/>
    <w:rsid w:val="04966B2D"/>
    <w:rsid w:val="08852047"/>
    <w:rsid w:val="0D78117E"/>
    <w:rsid w:val="0ECB71E5"/>
    <w:rsid w:val="1047087A"/>
    <w:rsid w:val="14CB3588"/>
    <w:rsid w:val="18B73F35"/>
    <w:rsid w:val="1B432FBD"/>
    <w:rsid w:val="28295C26"/>
    <w:rsid w:val="2C7221DA"/>
    <w:rsid w:val="33F373EF"/>
    <w:rsid w:val="361071E0"/>
    <w:rsid w:val="36AC163C"/>
    <w:rsid w:val="37BF4023"/>
    <w:rsid w:val="3E0D409C"/>
    <w:rsid w:val="4AA87665"/>
    <w:rsid w:val="5969641D"/>
    <w:rsid w:val="5EB470E8"/>
    <w:rsid w:val="646146DA"/>
    <w:rsid w:val="66A65F73"/>
    <w:rsid w:val="697B49F0"/>
    <w:rsid w:val="69E85563"/>
    <w:rsid w:val="6AA816AD"/>
    <w:rsid w:val="71EB46B3"/>
    <w:rsid w:val="729B7534"/>
    <w:rsid w:val="73722A85"/>
    <w:rsid w:val="73E8268A"/>
    <w:rsid w:val="7403555A"/>
    <w:rsid w:val="7B9E3E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spacing w:before="240" w:after="60"/>
      <w:outlineLvl w:val="3"/>
    </w:pPr>
    <w:rPr>
      <w:rFonts w:eastAsia="宋体" w:cs="Times New Roman"/>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20" w:lineRule="exact"/>
      <w:ind w:firstLine="607" w:firstLineChars="200"/>
    </w:pPr>
    <w:rPr>
      <w:rFonts w:eastAsia="仿宋_GB2312"/>
      <w:sz w:val="32"/>
    </w:rPr>
  </w:style>
  <w:style w:type="paragraph" w:styleId="4">
    <w:name w:val="Plain Text"/>
    <w:basedOn w:val="1"/>
    <w:link w:val="17"/>
    <w:qFormat/>
    <w:uiPriority w:val="0"/>
    <w:rPr>
      <w:rFonts w:ascii="宋体" w:hAnsi="Courier New" w:eastAsiaTheme="minorEastAsia" w:cstheme="minorBidi"/>
      <w:szCs w:val="22"/>
    </w:rPr>
  </w:style>
  <w:style w:type="paragraph" w:styleId="5">
    <w:name w:val="Date"/>
    <w:basedOn w:val="1"/>
    <w:next w:val="1"/>
    <w:link w:val="18"/>
    <w:qFormat/>
    <w:uiPriority w:val="0"/>
    <w:pPr>
      <w:ind w:left="100" w:leftChars="2500"/>
    </w:pPr>
  </w:style>
  <w:style w:type="paragraph" w:styleId="6">
    <w:name w:val="Balloon Text"/>
    <w:basedOn w:val="1"/>
    <w:link w:val="19"/>
    <w:semiHidden/>
    <w:unhideWhenUsed/>
    <w:qFormat/>
    <w:uiPriority w:val="0"/>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character" w:customStyle="1" w:styleId="14">
    <w:name w:val="页眉 Char"/>
    <w:basedOn w:val="11"/>
    <w:link w:val="8"/>
    <w:qFormat/>
    <w:uiPriority w:val="0"/>
    <w:rPr>
      <w:sz w:val="18"/>
      <w:szCs w:val="18"/>
    </w:rPr>
  </w:style>
  <w:style w:type="character" w:customStyle="1" w:styleId="15">
    <w:name w:val="页脚 Char"/>
    <w:basedOn w:val="11"/>
    <w:link w:val="7"/>
    <w:qFormat/>
    <w:uiPriority w:val="0"/>
    <w:rPr>
      <w:sz w:val="18"/>
      <w:szCs w:val="18"/>
    </w:rPr>
  </w:style>
  <w:style w:type="character" w:customStyle="1" w:styleId="16">
    <w:name w:val="纯文本 Char"/>
    <w:link w:val="4"/>
    <w:qFormat/>
    <w:uiPriority w:val="0"/>
    <w:rPr>
      <w:rFonts w:ascii="宋体" w:hAnsi="Courier New"/>
    </w:rPr>
  </w:style>
  <w:style w:type="character" w:customStyle="1" w:styleId="17">
    <w:name w:val="纯文本 Char1"/>
    <w:basedOn w:val="11"/>
    <w:link w:val="4"/>
    <w:semiHidden/>
    <w:qFormat/>
    <w:uiPriority w:val="99"/>
    <w:rPr>
      <w:rFonts w:ascii="宋体" w:hAnsi="Courier New" w:eastAsia="宋体" w:cs="Courier New"/>
      <w:szCs w:val="21"/>
    </w:rPr>
  </w:style>
  <w:style w:type="character" w:customStyle="1" w:styleId="18">
    <w:name w:val="日期 Char"/>
    <w:basedOn w:val="11"/>
    <w:link w:val="5"/>
    <w:qFormat/>
    <w:uiPriority w:val="0"/>
    <w:rPr>
      <w:rFonts w:ascii="Times New Roman" w:hAnsi="Times New Roman" w:eastAsia="宋体" w:cs="Times New Roman"/>
      <w:szCs w:val="24"/>
    </w:rPr>
  </w:style>
  <w:style w:type="character" w:customStyle="1" w:styleId="19">
    <w:name w:val="批注框文本 Char"/>
    <w:basedOn w:val="11"/>
    <w:link w:val="6"/>
    <w:semiHidden/>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5E858-359B-439F-8919-A1F7EDDF47D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130</Words>
  <Characters>744</Characters>
  <Lines>6</Lines>
  <Paragraphs>1</Paragraphs>
  <TotalTime>8</TotalTime>
  <ScaleCrop>false</ScaleCrop>
  <LinksUpToDate>false</LinksUpToDate>
  <CharactersWithSpaces>873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2018-05-08T08:15:00Z</dcterms:created>
  <dc:creator>客管办（政）</dc:creator>
  <cp:lastModifiedBy>道路运输局（政）</cp:lastModifiedBy>
  <cp:lastPrinted>2020-04-02T06:01:00Z</cp:lastPrinted>
  <dcterms:modified xsi:type="dcterms:W3CDTF">2023-07-26T09:30:15Z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EC20AEE8F4FC48FBB5B3758780AD1B9B_12</vt:lpwstr>
  </property>
</Properties>
</file>