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ind w:firstLine="420"/>
        <w:jc w:val="center"/>
        <w:rPr>
          <w:rFonts w:hint="default" w:ascii="Times New Roman" w:hAnsi="Times New Roman" w:cs="Times New Roman"/>
          <w:color w:val="FF0000"/>
          <w:w w:val="66"/>
          <w:kern w:val="15"/>
        </w:rPr>
      </w:pPr>
    </w:p>
    <w:p>
      <w:pPr>
        <w:spacing w:line="700" w:lineRule="exact"/>
        <w:ind w:firstLine="420"/>
        <w:jc w:val="center"/>
        <w:rPr>
          <w:rFonts w:hint="default" w:ascii="Times New Roman" w:hAnsi="Times New Roman" w:cs="Times New Roman"/>
          <w:color w:val="FF0000"/>
          <w:w w:val="66"/>
          <w:kern w:val="15"/>
        </w:rPr>
      </w:pPr>
    </w:p>
    <w:p>
      <w:pPr>
        <w:spacing w:line="700" w:lineRule="exact"/>
        <w:ind w:firstLine="420"/>
        <w:jc w:val="center"/>
        <w:rPr>
          <w:rFonts w:hint="default" w:ascii="Times New Roman" w:hAnsi="Times New Roman" w:cs="Times New Roman"/>
          <w:color w:val="FF0000"/>
          <w:w w:val="66"/>
          <w:kern w:val="15"/>
          <w:szCs w:val="21"/>
        </w:rPr>
      </w:pPr>
    </w:p>
    <w:p>
      <w:pPr>
        <w:spacing w:before="304" w:beforeLines="70" w:line="700" w:lineRule="exact"/>
        <w:ind w:firstLine="0" w:firstLineChars="0"/>
        <w:jc w:val="center"/>
        <w:rPr>
          <w:rFonts w:hint="default" w:ascii="Times New Roman" w:hAnsi="Times New Roman" w:cs="Times New Roman"/>
          <w:color w:val="FF0000"/>
          <w:w w:val="66"/>
          <w:kern w:val="15"/>
          <w:sz w:val="88"/>
          <w:szCs w:val="88"/>
        </w:rPr>
      </w:pPr>
      <w:r>
        <w:rPr>
          <w:rFonts w:hint="default" w:ascii="Times New Roman" w:hAnsi="Times New Roman" w:cs="Times New Roman"/>
          <w:color w:val="FF0000"/>
          <w:w w:val="66"/>
          <w:kern w:val="15"/>
          <w:sz w:val="88"/>
          <w:szCs w:val="88"/>
        </w:rPr>
        <w:t xml:space="preserve"> </w:t>
      </w:r>
    </w:p>
    <w:p>
      <w:pPr>
        <w:spacing w:line="700" w:lineRule="exact"/>
        <w:ind w:firstLine="640"/>
        <w:jc w:val="center"/>
        <w:rPr>
          <w:rFonts w:hint="default" w:ascii="Times New Roman" w:hAnsi="Times New Roman" w:cs="Times New Roman"/>
        </w:rPr>
      </w:pPr>
    </w:p>
    <w:p>
      <w:pPr>
        <w:spacing w:before="391" w:beforeLines="90" w:line="560" w:lineRule="exact"/>
        <w:ind w:firstLine="0" w:firstLineChars="0"/>
        <w:jc w:val="both"/>
        <w:rPr>
          <w:rFonts w:hint="default" w:ascii="Times New Roman" w:hAnsi="Times New Roman" w:cs="Times New Roman"/>
        </w:rPr>
      </w:pPr>
    </w:p>
    <w:p>
      <w:pPr>
        <w:spacing w:line="579" w:lineRule="exact"/>
        <w:ind w:firstLine="640"/>
        <w:jc w:val="center"/>
        <w:rPr>
          <w:rFonts w:hint="default" w:ascii="Times New Roman" w:hAnsi="Times New Roman" w:cs="Times New Roman"/>
        </w:rPr>
      </w:pPr>
    </w:p>
    <w:p>
      <w:pPr>
        <w:pStyle w:val="4"/>
        <w:tabs>
          <w:tab w:val="left" w:pos="7297"/>
        </w:tabs>
        <w:spacing w:line="579"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天津市港航管理局关于印发</w:t>
      </w:r>
      <w:r>
        <w:rPr>
          <w:rFonts w:hint="eastAsia"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rPr>
        <w:t>天津市水路运输</w:t>
      </w:r>
    </w:p>
    <w:p>
      <w:pPr>
        <w:pStyle w:val="4"/>
        <w:tabs>
          <w:tab w:val="left" w:pos="7297"/>
        </w:tabs>
        <w:spacing w:line="579" w:lineRule="exact"/>
        <w:jc w:val="center"/>
        <w:rPr>
          <w:rFonts w:hint="default" w:ascii="Times New Roman" w:hAnsi="Times New Roman" w:eastAsia="仿宋_GB2312" w:cs="Times New Roman"/>
          <w:szCs w:val="32"/>
        </w:rPr>
      </w:pPr>
      <w:r>
        <w:rPr>
          <w:rFonts w:hint="default" w:ascii="Times New Roman" w:hAnsi="Times New Roman" w:eastAsia="方正小标宋简体" w:cs="Times New Roman"/>
          <w:color w:val="000000"/>
          <w:sz w:val="44"/>
          <w:szCs w:val="44"/>
        </w:rPr>
        <w:t>市场信用评价办法（试行）</w:t>
      </w:r>
      <w:r>
        <w:rPr>
          <w:rFonts w:hint="eastAsia" w:ascii="Times New Roman" w:hAnsi="Times New Roman" w:eastAsia="方正小标宋简体" w:cs="Times New Roman"/>
          <w:color w:val="000000"/>
          <w:sz w:val="44"/>
          <w:szCs w:val="44"/>
          <w:lang w:eastAsia="zh-CN"/>
        </w:rPr>
        <w:t>》</w:t>
      </w:r>
      <w:r>
        <w:rPr>
          <w:rFonts w:hint="default" w:ascii="Times New Roman" w:hAnsi="Times New Roman" w:eastAsia="方正小标宋简体" w:cs="Times New Roman"/>
          <w:color w:val="000000"/>
          <w:sz w:val="44"/>
          <w:szCs w:val="44"/>
        </w:rPr>
        <w:t>的通知</w:t>
      </w:r>
    </w:p>
    <w:p>
      <w:pPr>
        <w:spacing w:line="579" w:lineRule="exact"/>
        <w:ind w:firstLine="0" w:firstLineChars="0"/>
        <w:rPr>
          <w:rFonts w:hint="default" w:ascii="Times New Roman" w:hAnsi="Times New Roman" w:cs="Times New Roman"/>
        </w:rPr>
      </w:pPr>
    </w:p>
    <w:p>
      <w:pPr>
        <w:spacing w:line="579" w:lineRule="exact"/>
        <w:ind w:firstLine="0" w:firstLineChars="0"/>
        <w:rPr>
          <w:rFonts w:hint="default" w:ascii="Times New Roman" w:hAnsi="Times New Roman" w:cs="Times New Roman"/>
        </w:rPr>
      </w:pPr>
      <w:r>
        <w:rPr>
          <w:rFonts w:hint="default" w:ascii="Times New Roman" w:hAnsi="Times New Roman" w:cs="Times New Roman"/>
        </w:rPr>
        <w:t>各区水路运输管理部门，各有关企业：</w:t>
      </w:r>
    </w:p>
    <w:p>
      <w:pPr>
        <w:spacing w:line="579" w:lineRule="exact"/>
        <w:ind w:firstLine="640"/>
        <w:rPr>
          <w:rFonts w:hint="default" w:ascii="Times New Roman" w:hAnsi="Times New Roman" w:cs="Times New Roman"/>
        </w:rPr>
      </w:pPr>
      <w:r>
        <w:rPr>
          <w:rFonts w:hint="default" w:ascii="Times New Roman" w:hAnsi="Times New Roman" w:cs="Times New Roman"/>
        </w:rPr>
        <w:t>为</w:t>
      </w:r>
      <w:r>
        <w:rPr>
          <w:rFonts w:hint="eastAsia" w:ascii="Times New Roman" w:hAnsi="Times New Roman" w:cs="Times New Roman"/>
          <w:lang w:eastAsia="zh-CN"/>
        </w:rPr>
        <w:t>规范</w:t>
      </w:r>
      <w:r>
        <w:rPr>
          <w:rFonts w:hint="default" w:ascii="Times New Roman" w:hAnsi="Times New Roman" w:cs="Times New Roman"/>
        </w:rPr>
        <w:t>天津市水路运输市场信用管理工作，市港航局</w:t>
      </w:r>
      <w:r>
        <w:rPr>
          <w:rFonts w:hint="eastAsia" w:ascii="Times New Roman" w:hAnsi="Times New Roman" w:cs="Times New Roman"/>
          <w:lang w:eastAsia="zh-CN"/>
        </w:rPr>
        <w:t>制定印发</w:t>
      </w:r>
      <w:r>
        <w:rPr>
          <w:rFonts w:hint="default" w:ascii="Times New Roman" w:hAnsi="Times New Roman" w:cs="Times New Roman"/>
        </w:rPr>
        <w:t>了《天津市水路运输市场信用评价办法（试行）》</w:t>
      </w:r>
      <w:r>
        <w:rPr>
          <w:rFonts w:hint="eastAsia" w:ascii="Times New Roman" w:hAnsi="Times New Roman" w:cs="Times New Roman"/>
          <w:lang w:eastAsia="zh-CN"/>
        </w:rPr>
        <w:t>，</w:t>
      </w:r>
      <w:r>
        <w:rPr>
          <w:rFonts w:hint="default" w:ascii="Times New Roman" w:hAnsi="Times New Roman" w:cs="Times New Roman"/>
        </w:rPr>
        <w:t>请</w:t>
      </w:r>
      <w:r>
        <w:rPr>
          <w:rFonts w:hint="eastAsia" w:ascii="Times New Roman" w:hAnsi="Times New Roman" w:cs="Times New Roman"/>
          <w:lang w:eastAsia="zh-CN"/>
        </w:rPr>
        <w:t>做好贯彻落实</w:t>
      </w:r>
      <w:r>
        <w:rPr>
          <w:rFonts w:hint="default" w:ascii="Times New Roman" w:hAnsi="Times New Roman" w:cs="Times New Roman"/>
        </w:rPr>
        <w:t>。</w:t>
      </w:r>
    </w:p>
    <w:p>
      <w:pPr>
        <w:spacing w:line="579" w:lineRule="exact"/>
        <w:ind w:firstLine="640"/>
        <w:rPr>
          <w:rFonts w:hint="default" w:ascii="Times New Roman" w:hAnsi="Times New Roman" w:cs="Times New Roman"/>
        </w:rPr>
      </w:pPr>
    </w:p>
    <w:p>
      <w:pPr>
        <w:spacing w:line="579" w:lineRule="exact"/>
        <w:ind w:firstLine="640"/>
        <w:rPr>
          <w:rFonts w:hint="default" w:ascii="Times New Roman" w:hAnsi="Times New Roman" w:cs="Times New Roman"/>
        </w:rPr>
      </w:pPr>
    </w:p>
    <w:p>
      <w:pPr>
        <w:tabs>
          <w:tab w:val="left" w:pos="8222"/>
          <w:tab w:val="left" w:pos="8505"/>
        </w:tabs>
        <w:snapToGrid w:val="0"/>
        <w:spacing w:line="578" w:lineRule="exact"/>
        <w:ind w:right="320" w:rightChars="100" w:firstLine="320" w:firstLineChars="100"/>
        <w:rPr>
          <w:rFonts w:hint="default" w:ascii="Times New Roman" w:hAnsi="Times New Roman" w:cs="Times New Roman"/>
        </w:rPr>
      </w:pPr>
      <w:r>
        <w:rPr>
          <w:rFonts w:hint="default" w:ascii="Times New Roman" w:hAnsi="Times New Roman" w:cs="Times New Roman"/>
        </w:rPr>
        <w:t xml:space="preserve">                           </w:t>
      </w:r>
      <w:r>
        <w:rPr>
          <w:rFonts w:hint="eastAsia" w:ascii="Times New Roman" w:hAnsi="Times New Roman" w:cs="Times New Roman"/>
          <w:lang w:val="en-US" w:eastAsia="zh-CN"/>
        </w:rPr>
        <w:t xml:space="preserve"> 天津市港航管理局</w:t>
      </w:r>
    </w:p>
    <w:p>
      <w:pPr>
        <w:tabs>
          <w:tab w:val="left" w:pos="8222"/>
          <w:tab w:val="left" w:pos="8505"/>
        </w:tabs>
        <w:snapToGrid w:val="0"/>
        <w:spacing w:line="578" w:lineRule="exact"/>
        <w:ind w:right="320" w:rightChars="100" w:firstLine="280" w:firstLineChars="100"/>
        <w:rPr>
          <w:rFonts w:hint="default" w:ascii="Times New Roman" w:hAnsi="Times New Roman" w:cs="Times New Roman"/>
        </w:rPr>
      </w:pPr>
      <w:r>
        <w:rPr>
          <w:rFonts w:hint="eastAsia" w:ascii="Times New Roman" w:hAnsi="Times New Roman" w:cs="Times New Roman"/>
          <w:bCs/>
          <w:sz w:val="28"/>
          <w:szCs w:val="28"/>
          <w:lang w:val="en-US" w:eastAsia="zh-CN"/>
        </w:rPr>
        <w:t xml:space="preserve">                                  </w:t>
      </w:r>
      <w:bookmarkStart w:id="0" w:name="_GoBack"/>
      <w:bookmarkEnd w:id="0"/>
      <w:r>
        <w:rPr>
          <w:rFonts w:hint="eastAsia" w:ascii="Times New Roman" w:hAnsi="Times New Roman" w:cs="Times New Roman"/>
          <w:bCs/>
          <w:sz w:val="28"/>
          <w:szCs w:val="28"/>
          <w:lang w:val="en-US" w:eastAsia="zh-CN"/>
        </w:rPr>
        <w:t>2023年1月18日</w:t>
      </w:r>
    </w:p>
    <w:p>
      <w:pPr>
        <w:shd w:val="clear"/>
        <w:spacing w:line="580" w:lineRule="exact"/>
        <w:ind w:left="0" w:leftChars="0" w:firstLine="0" w:firstLineChars="0"/>
        <w:jc w:val="center"/>
        <w:rPr>
          <w:rFonts w:hint="eastAsia" w:ascii="Times New Roman" w:hAnsi="Times New Roman" w:eastAsia="方正小标宋简体" w:cs="Times New Roman"/>
          <w:color w:val="auto"/>
          <w:sz w:val="44"/>
          <w:szCs w:val="44"/>
        </w:rPr>
      </w:pPr>
    </w:p>
    <w:p>
      <w:pPr>
        <w:shd w:val="clear"/>
        <w:spacing w:line="580" w:lineRule="exact"/>
        <w:ind w:left="0" w:leftChars="0" w:firstLine="0" w:firstLineChars="0"/>
        <w:jc w:val="center"/>
        <w:rPr>
          <w:rFonts w:hint="eastAsia" w:ascii="Times New Roman" w:hAnsi="Times New Roman" w:eastAsia="方正小标宋简体" w:cs="Times New Roman"/>
          <w:color w:val="auto"/>
          <w:sz w:val="44"/>
          <w:szCs w:val="44"/>
        </w:rPr>
      </w:pPr>
      <w:r>
        <w:rPr>
          <w:rFonts w:hint="eastAsia" w:ascii="Times New Roman" w:hAnsi="Times New Roman" w:eastAsia="方正小标宋简体" w:cs="Times New Roman"/>
          <w:color w:val="auto"/>
          <w:sz w:val="44"/>
          <w:szCs w:val="44"/>
        </w:rPr>
        <w:t>天津市水路运输</w:t>
      </w:r>
      <w:r>
        <w:rPr>
          <w:rFonts w:hint="eastAsia" w:ascii="Times New Roman" w:hAnsi="Times New Roman" w:eastAsia="方正小标宋简体" w:cs="Times New Roman"/>
          <w:color w:val="auto"/>
          <w:sz w:val="44"/>
          <w:szCs w:val="44"/>
          <w:lang w:eastAsia="zh-CN"/>
        </w:rPr>
        <w:t>市场</w:t>
      </w:r>
      <w:r>
        <w:rPr>
          <w:rFonts w:hint="eastAsia" w:ascii="Times New Roman" w:hAnsi="Times New Roman" w:eastAsia="方正小标宋简体" w:cs="Times New Roman"/>
          <w:color w:val="auto"/>
          <w:sz w:val="44"/>
          <w:szCs w:val="44"/>
        </w:rPr>
        <w:t>信用</w:t>
      </w:r>
      <w:r>
        <w:rPr>
          <w:rFonts w:hint="eastAsia" w:ascii="Times New Roman" w:hAnsi="Times New Roman" w:eastAsia="方正小标宋简体" w:cs="Times New Roman"/>
          <w:color w:val="auto"/>
          <w:sz w:val="44"/>
          <w:szCs w:val="44"/>
          <w:lang w:eastAsia="zh-CN"/>
        </w:rPr>
        <w:t>评价</w:t>
      </w:r>
      <w:r>
        <w:rPr>
          <w:rFonts w:hint="eastAsia" w:ascii="Times New Roman" w:hAnsi="Times New Roman" w:eastAsia="方正小标宋简体" w:cs="Times New Roman"/>
          <w:color w:val="auto"/>
          <w:sz w:val="44"/>
          <w:szCs w:val="44"/>
        </w:rPr>
        <w:t>办法</w:t>
      </w:r>
    </w:p>
    <w:p>
      <w:pPr>
        <w:shd w:val="clear"/>
        <w:spacing w:line="580" w:lineRule="exact"/>
        <w:ind w:left="0" w:leftChars="0" w:firstLine="0" w:firstLineChars="0"/>
        <w:jc w:val="center"/>
        <w:rPr>
          <w:rFonts w:ascii="仿宋_GB2312" w:hAnsi="黑体" w:eastAsia="仿宋_GB2312"/>
          <w:color w:val="auto"/>
          <w:sz w:val="32"/>
        </w:rPr>
      </w:pPr>
      <w:r>
        <w:rPr>
          <w:rFonts w:hint="eastAsia" w:ascii="Times New Roman" w:hAnsi="Times New Roman" w:eastAsia="方正小标宋简体" w:cs="Times New Roman"/>
          <w:color w:val="auto"/>
          <w:sz w:val="44"/>
          <w:szCs w:val="44"/>
        </w:rPr>
        <w:t>（试行）</w:t>
      </w:r>
      <w:r>
        <w:rPr>
          <w:rFonts w:hint="eastAsia" w:ascii="Times New Roman" w:hAnsi="Times New Roman" w:eastAsia="方正小标宋简体" w:cs="Times New Roman"/>
          <w:color w:val="auto"/>
          <w:sz w:val="44"/>
          <w:szCs w:val="44"/>
        </w:rPr>
        <w:br w:type="textWrapping"/>
      </w: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第一章</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黑体" w:cs="Times New Roman"/>
          <w:color w:val="auto"/>
          <w:sz w:val="32"/>
          <w:szCs w:val="32"/>
        </w:rPr>
        <w:t>总则</w:t>
      </w:r>
    </w:p>
    <w:p>
      <w:pPr>
        <w:shd w:val="clear"/>
        <w:spacing w:line="579" w:lineRule="exact"/>
        <w:ind w:firstLine="640" w:firstLineChars="200"/>
        <w:rPr>
          <w:rFonts w:ascii="仿宋_GB2312" w:hAnsi="宋体" w:eastAsia="仿宋_GB2312" w:cs="宋体"/>
          <w:color w:val="auto"/>
          <w:kern w:val="0"/>
          <w:sz w:val="32"/>
          <w:szCs w:val="32"/>
        </w:rPr>
      </w:pP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第一条</w:t>
      </w:r>
      <w:r>
        <w:rPr>
          <w:rFonts w:hint="eastAsia" w:ascii="仿宋_GB2312" w:hAnsi="黑体" w:eastAsia="仿宋_GB2312"/>
          <w:color w:val="auto"/>
          <w:sz w:val="32"/>
        </w:rPr>
        <w:t xml:space="preserve"> 为推进天津市水路运输市场信用体系建设，维护公平竞争的市场秩序，引导经营</w:t>
      </w:r>
      <w:r>
        <w:rPr>
          <w:rFonts w:hint="eastAsia" w:ascii="仿宋_GB2312" w:hAnsi="黑体" w:eastAsia="仿宋_GB2312"/>
          <w:color w:val="auto"/>
          <w:sz w:val="32"/>
          <w:lang w:eastAsia="zh-CN"/>
        </w:rPr>
        <w:t>者</w:t>
      </w:r>
      <w:r>
        <w:rPr>
          <w:rFonts w:hint="eastAsia" w:ascii="仿宋_GB2312" w:hAnsi="黑体" w:eastAsia="仿宋_GB2312"/>
          <w:color w:val="auto"/>
          <w:sz w:val="32"/>
        </w:rPr>
        <w:t>依法</w:t>
      </w:r>
      <w:r>
        <w:rPr>
          <w:rFonts w:hint="eastAsia" w:ascii="仿宋_GB2312" w:hAnsi="黑体" w:eastAsia="仿宋_GB2312"/>
          <w:color w:val="auto"/>
          <w:sz w:val="32"/>
          <w:lang w:eastAsia="zh-CN"/>
        </w:rPr>
        <w:t>诚</w:t>
      </w:r>
      <w:r>
        <w:rPr>
          <w:rFonts w:hint="eastAsia" w:ascii="仿宋_GB2312" w:hAnsi="黑体" w:eastAsia="仿宋_GB2312"/>
          <w:color w:val="auto"/>
          <w:sz w:val="32"/>
        </w:rPr>
        <w:t>信经营，促进行业健康有序发展，根据</w:t>
      </w:r>
      <w:r>
        <w:rPr>
          <w:rFonts w:hint="eastAsia" w:ascii="仿宋_GB2312" w:hAnsi="黑体" w:eastAsia="仿宋_GB2312"/>
          <w:color w:val="auto"/>
          <w:sz w:val="32"/>
          <w:lang w:eastAsia="zh-CN"/>
        </w:rPr>
        <w:t>《天津市社会信用条例》</w:t>
      </w:r>
      <w:r>
        <w:rPr>
          <w:rFonts w:hint="eastAsia" w:ascii="仿宋_GB2312" w:hAnsi="黑体" w:eastAsia="仿宋_GB2312"/>
          <w:color w:val="auto"/>
          <w:sz w:val="32"/>
        </w:rPr>
        <w:t>《水路运输市场信用信息管理办法（试行）》</w:t>
      </w:r>
      <w:r>
        <w:rPr>
          <w:rFonts w:hint="eastAsia" w:ascii="仿宋_GB2312" w:hAnsi="黑体" w:eastAsia="仿宋_GB2312"/>
          <w:color w:val="auto"/>
          <w:sz w:val="32"/>
          <w:lang w:eastAsia="zh-CN"/>
        </w:rPr>
        <w:t>等有关法律法规规定</w:t>
      </w:r>
      <w:r>
        <w:rPr>
          <w:rFonts w:hint="eastAsia" w:ascii="仿宋_GB2312" w:hAnsi="黑体" w:eastAsia="仿宋_GB2312"/>
          <w:color w:val="auto"/>
          <w:sz w:val="32"/>
        </w:rPr>
        <w:t>，</w:t>
      </w:r>
      <w:r>
        <w:rPr>
          <w:rFonts w:hint="eastAsia" w:ascii="仿宋_GB2312" w:hAnsi="黑体" w:eastAsia="仿宋_GB2312"/>
          <w:color w:val="auto"/>
          <w:sz w:val="32"/>
          <w:lang w:eastAsia="zh-CN"/>
        </w:rPr>
        <w:t>结合本行业监管实际，</w:t>
      </w:r>
      <w:r>
        <w:rPr>
          <w:rFonts w:hint="eastAsia" w:ascii="仿宋_GB2312" w:hAnsi="黑体" w:eastAsia="仿宋_GB2312"/>
          <w:color w:val="auto"/>
          <w:sz w:val="32"/>
        </w:rPr>
        <w:t>制定本办法。</w:t>
      </w:r>
    </w:p>
    <w:p>
      <w:pPr>
        <w:shd w:val="clear"/>
        <w:spacing w:line="579" w:lineRule="exact"/>
        <w:ind w:firstLine="642" w:firstLineChars="200"/>
        <w:rPr>
          <w:rFonts w:hint="eastAsia" w:ascii="仿宋_GB2312" w:hAnsi="黑体" w:eastAsia="仿宋_GB2312"/>
          <w:color w:val="auto"/>
          <w:sz w:val="32"/>
        </w:rPr>
      </w:pPr>
      <w:r>
        <w:rPr>
          <w:rFonts w:hint="eastAsia" w:ascii="仿宋_GB2312" w:hAnsi="黑体" w:eastAsia="仿宋_GB2312"/>
          <w:b/>
          <w:color w:val="auto"/>
          <w:sz w:val="32"/>
        </w:rPr>
        <w:t>第二条</w:t>
      </w:r>
      <w:r>
        <w:rPr>
          <w:rFonts w:hint="eastAsia" w:ascii="仿宋_GB2312" w:hAnsi="黑体" w:eastAsia="仿宋_GB2312"/>
          <w:color w:val="auto"/>
          <w:sz w:val="32"/>
        </w:rPr>
        <w:t xml:space="preserve"> 本办法所称的从业单位指在天津市注册登记，经许可、备案</w:t>
      </w:r>
      <w:r>
        <w:rPr>
          <w:rFonts w:hint="eastAsia" w:ascii="仿宋_GB2312" w:hAnsi="黑体" w:eastAsia="仿宋_GB2312"/>
          <w:color w:val="auto"/>
          <w:sz w:val="32"/>
          <w:lang w:eastAsia="zh-CN"/>
        </w:rPr>
        <w:t>等</w:t>
      </w:r>
      <w:r>
        <w:rPr>
          <w:rFonts w:hint="eastAsia" w:ascii="仿宋_GB2312" w:hAnsi="黑体" w:eastAsia="仿宋_GB2312"/>
          <w:color w:val="auto"/>
          <w:sz w:val="32"/>
        </w:rPr>
        <w:t>纳入监管的水路运输（含辅助业）业务经营者。</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本办法所称的信用评价是指</w:t>
      </w:r>
      <w:r>
        <w:rPr>
          <w:rFonts w:hint="eastAsia" w:ascii="仿宋_GB2312" w:hAnsi="黑体" w:eastAsia="仿宋_GB2312"/>
          <w:color w:val="auto"/>
          <w:sz w:val="32"/>
          <w:lang w:eastAsia="zh-CN"/>
        </w:rPr>
        <w:t>市区两级水路运输管理部门根据行业监管有关信息，综合评定本行政区域内从业单位的信用等级，并将评价结果主要用于实施分级分类监管及有关工作的参考依据。</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第三条</w:t>
      </w:r>
      <w:r>
        <w:rPr>
          <w:rFonts w:hint="eastAsia" w:ascii="仿宋_GB2312" w:hAnsi="黑体" w:eastAsia="仿宋_GB2312"/>
          <w:color w:val="auto"/>
          <w:sz w:val="32"/>
        </w:rPr>
        <w:t xml:space="preserve"> 天津市水路运输市场</w:t>
      </w:r>
      <w:r>
        <w:rPr>
          <w:rFonts w:hint="eastAsia" w:ascii="仿宋_GB2312" w:hAnsi="黑体" w:eastAsia="仿宋_GB2312"/>
          <w:color w:val="auto"/>
          <w:sz w:val="32"/>
          <w:lang w:eastAsia="zh-CN"/>
        </w:rPr>
        <w:t>信用评价</w:t>
      </w:r>
      <w:r>
        <w:rPr>
          <w:rFonts w:hint="eastAsia" w:ascii="仿宋_GB2312" w:hAnsi="黑体" w:eastAsia="仿宋_GB2312"/>
          <w:color w:val="auto"/>
          <w:sz w:val="32"/>
        </w:rPr>
        <w:t>应当遵循客观公正</w:t>
      </w:r>
      <w:r>
        <w:rPr>
          <w:rFonts w:hint="eastAsia" w:ascii="仿宋_GB2312" w:hAnsi="黑体" w:eastAsia="仿宋_GB2312"/>
          <w:color w:val="auto"/>
          <w:sz w:val="32"/>
          <w:lang w:eastAsia="zh-CN"/>
        </w:rPr>
        <w:t>的</w:t>
      </w:r>
      <w:r>
        <w:rPr>
          <w:rFonts w:hint="eastAsia" w:ascii="仿宋_GB2312" w:hAnsi="黑体" w:eastAsia="仿宋_GB2312"/>
          <w:color w:val="auto"/>
          <w:sz w:val="32"/>
        </w:rPr>
        <w:t>原则，确保信息的真实性、完整性、及时性和准确性，保护国家秘密、商业秘密和个人隐私。</w:t>
      </w:r>
    </w:p>
    <w:p>
      <w:pPr>
        <w:shd w:val="clear"/>
        <w:spacing w:line="579" w:lineRule="exact"/>
        <w:ind w:firstLine="642" w:firstLineChars="200"/>
        <w:rPr>
          <w:rFonts w:hint="eastAsia" w:ascii="仿宋_GB2312" w:hAnsi="黑体" w:eastAsia="仿宋_GB2312"/>
          <w:color w:val="auto"/>
          <w:sz w:val="32"/>
          <w:lang w:eastAsia="zh-CN"/>
        </w:rPr>
      </w:pPr>
      <w:r>
        <w:rPr>
          <w:rFonts w:hint="eastAsia" w:ascii="仿宋_GB2312" w:hAnsi="黑体" w:eastAsia="仿宋_GB2312"/>
          <w:b/>
          <w:color w:val="auto"/>
          <w:sz w:val="32"/>
        </w:rPr>
        <w:t>第四条</w:t>
      </w:r>
      <w:r>
        <w:rPr>
          <w:rFonts w:hint="eastAsia" w:ascii="黑体" w:hAnsi="黑体" w:eastAsia="黑体"/>
          <w:color w:val="auto"/>
          <w:sz w:val="32"/>
        </w:rPr>
        <w:t xml:space="preserve"> </w:t>
      </w:r>
      <w:r>
        <w:rPr>
          <w:rFonts w:hint="eastAsia" w:ascii="仿宋_GB2312" w:hAnsi="黑体" w:eastAsia="仿宋_GB2312"/>
          <w:color w:val="auto"/>
          <w:sz w:val="32"/>
        </w:rPr>
        <w:t>天津市交通运输主管部门统筹天津市水路运输市场</w:t>
      </w:r>
      <w:r>
        <w:rPr>
          <w:rFonts w:hint="eastAsia" w:ascii="仿宋_GB2312" w:hAnsi="黑体" w:eastAsia="仿宋_GB2312"/>
          <w:color w:val="auto"/>
          <w:sz w:val="32"/>
          <w:lang w:eastAsia="zh-CN"/>
        </w:rPr>
        <w:t>信用管理工作。</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天津</w:t>
      </w:r>
      <w:r>
        <w:rPr>
          <w:rFonts w:hint="eastAsia" w:ascii="仿宋_GB2312" w:hAnsi="黑体" w:eastAsia="仿宋_GB2312"/>
          <w:color w:val="auto"/>
          <w:sz w:val="32"/>
          <w:lang w:eastAsia="zh-CN"/>
        </w:rPr>
        <w:t>市港航管理局</w:t>
      </w:r>
      <w:r>
        <w:rPr>
          <w:rFonts w:hint="eastAsia" w:ascii="仿宋_GB2312" w:hAnsi="黑体" w:eastAsia="仿宋_GB2312"/>
          <w:color w:val="auto"/>
          <w:sz w:val="32"/>
        </w:rPr>
        <w:t>具体</w:t>
      </w:r>
      <w:r>
        <w:rPr>
          <w:rFonts w:hint="eastAsia" w:ascii="仿宋_GB2312" w:hAnsi="黑体" w:eastAsia="仿宋_GB2312"/>
          <w:color w:val="auto"/>
          <w:sz w:val="32"/>
          <w:lang w:eastAsia="zh-CN"/>
        </w:rPr>
        <w:t>组织</w:t>
      </w:r>
      <w:r>
        <w:rPr>
          <w:rFonts w:hint="eastAsia" w:ascii="仿宋_GB2312" w:hAnsi="黑体" w:eastAsia="仿宋_GB2312"/>
          <w:color w:val="auto"/>
          <w:sz w:val="32"/>
        </w:rPr>
        <w:t>实施水路运输市场信用评价工作</w:t>
      </w:r>
      <w:r>
        <w:rPr>
          <w:rFonts w:hint="eastAsia" w:ascii="仿宋_GB2312" w:hAnsi="黑体" w:eastAsia="仿宋_GB2312"/>
          <w:color w:val="auto"/>
          <w:sz w:val="32"/>
          <w:lang w:eastAsia="zh-CN"/>
        </w:rPr>
        <w:t>，</w:t>
      </w:r>
      <w:r>
        <w:rPr>
          <w:rFonts w:hint="eastAsia" w:ascii="仿宋_GB2312" w:hAnsi="黑体" w:eastAsia="仿宋_GB2312"/>
          <w:color w:val="auto"/>
          <w:sz w:val="32"/>
        </w:rPr>
        <w:t>主要职责是：</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（一）贯彻国家水路运输市场信用管理相关要求，结合</w:t>
      </w:r>
      <w:r>
        <w:rPr>
          <w:rFonts w:hint="eastAsia" w:ascii="仿宋_GB2312" w:hAnsi="黑体" w:eastAsia="仿宋_GB2312"/>
          <w:color w:val="auto"/>
          <w:sz w:val="32"/>
          <w:lang w:eastAsia="zh-CN"/>
        </w:rPr>
        <w:t>本市</w:t>
      </w:r>
      <w:r>
        <w:rPr>
          <w:rFonts w:hint="eastAsia" w:ascii="仿宋_GB2312" w:hAnsi="黑体" w:eastAsia="仿宋_GB2312"/>
          <w:color w:val="auto"/>
          <w:sz w:val="32"/>
        </w:rPr>
        <w:t>实际制定</w:t>
      </w:r>
      <w:r>
        <w:rPr>
          <w:rFonts w:hint="eastAsia" w:ascii="仿宋_GB2312" w:hAnsi="黑体" w:eastAsia="仿宋_GB2312"/>
          <w:color w:val="auto"/>
          <w:sz w:val="32"/>
          <w:lang w:eastAsia="zh-CN"/>
        </w:rPr>
        <w:t>本市</w:t>
      </w:r>
      <w:r>
        <w:rPr>
          <w:rFonts w:hint="eastAsia" w:ascii="仿宋_GB2312" w:hAnsi="黑体" w:eastAsia="仿宋_GB2312"/>
          <w:color w:val="auto"/>
          <w:sz w:val="32"/>
        </w:rPr>
        <w:t>水路运输市场</w:t>
      </w:r>
      <w:r>
        <w:rPr>
          <w:rFonts w:hint="eastAsia" w:ascii="仿宋_GB2312" w:hAnsi="黑体" w:eastAsia="仿宋_GB2312"/>
          <w:color w:val="auto"/>
          <w:sz w:val="32"/>
          <w:lang w:eastAsia="zh-CN"/>
        </w:rPr>
        <w:t>信用管理</w:t>
      </w:r>
      <w:r>
        <w:rPr>
          <w:rFonts w:hint="eastAsia" w:ascii="仿宋_GB2312" w:hAnsi="黑体" w:eastAsia="仿宋_GB2312"/>
          <w:color w:val="auto"/>
          <w:sz w:val="32"/>
        </w:rPr>
        <w:t>制度并组织实施；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w:t>
      </w:r>
      <w:r>
        <w:rPr>
          <w:rFonts w:hint="eastAsia" w:ascii="仿宋_GB2312" w:hAnsi="黑体" w:eastAsia="仿宋_GB2312"/>
          <w:color w:val="auto"/>
          <w:sz w:val="32"/>
          <w:lang w:eastAsia="zh-CN"/>
        </w:rPr>
        <w:t>建立</w:t>
      </w:r>
      <w:r>
        <w:rPr>
          <w:rFonts w:hint="eastAsia" w:ascii="仿宋_GB2312" w:hAnsi="黑体" w:eastAsia="仿宋_GB2312"/>
          <w:color w:val="auto"/>
          <w:sz w:val="32"/>
        </w:rPr>
        <w:t>和完善</w:t>
      </w:r>
      <w:r>
        <w:rPr>
          <w:rFonts w:hint="eastAsia" w:ascii="仿宋_GB2312" w:hAnsi="黑体" w:eastAsia="仿宋_GB2312"/>
          <w:color w:val="auto"/>
          <w:sz w:val="32"/>
          <w:lang w:eastAsia="zh-CN"/>
        </w:rPr>
        <w:t>相关信息化</w:t>
      </w:r>
      <w:r>
        <w:rPr>
          <w:rFonts w:hint="eastAsia" w:ascii="仿宋_GB2312" w:hAnsi="黑体" w:eastAsia="仿宋_GB2312"/>
          <w:color w:val="auto"/>
          <w:sz w:val="32"/>
        </w:rPr>
        <w:t>管理系统，并组织与交通运输部和天津市</w:t>
      </w:r>
      <w:r>
        <w:rPr>
          <w:rFonts w:hint="eastAsia" w:ascii="仿宋_GB2312" w:hAnsi="黑体" w:eastAsia="仿宋_GB2312"/>
          <w:color w:val="auto"/>
          <w:sz w:val="32"/>
          <w:lang w:eastAsia="zh-CN"/>
        </w:rPr>
        <w:t>有关</w:t>
      </w:r>
      <w:r>
        <w:rPr>
          <w:rFonts w:hint="eastAsia" w:ascii="仿宋_GB2312" w:hAnsi="黑体" w:eastAsia="仿宋_GB2312"/>
          <w:color w:val="auto"/>
          <w:sz w:val="32"/>
        </w:rPr>
        <w:t>信息平台对接；</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rPr>
        <w:t>（</w:t>
      </w:r>
      <w:r>
        <w:rPr>
          <w:rFonts w:hint="eastAsia" w:ascii="仿宋_GB2312" w:hAnsi="黑体" w:eastAsia="仿宋_GB2312"/>
          <w:color w:val="auto"/>
          <w:sz w:val="32"/>
          <w:lang w:eastAsia="zh-CN"/>
        </w:rPr>
        <w:t>三</w:t>
      </w:r>
      <w:r>
        <w:rPr>
          <w:rFonts w:hint="eastAsia" w:ascii="仿宋_GB2312" w:hAnsi="黑体" w:eastAsia="仿宋_GB2312"/>
          <w:color w:val="auto"/>
          <w:sz w:val="32"/>
        </w:rPr>
        <w:t>）指导区级水路运输管理部门开展水路运输市场</w:t>
      </w:r>
      <w:r>
        <w:rPr>
          <w:rFonts w:hint="eastAsia" w:ascii="仿宋_GB2312" w:hAnsi="黑体" w:eastAsia="仿宋_GB2312"/>
          <w:color w:val="auto"/>
          <w:sz w:val="32"/>
          <w:lang w:eastAsia="zh-CN"/>
        </w:rPr>
        <w:t>信用管理</w:t>
      </w:r>
      <w:r>
        <w:rPr>
          <w:rFonts w:hint="eastAsia" w:ascii="仿宋_GB2312" w:hAnsi="黑体" w:eastAsia="仿宋_GB2312"/>
          <w:color w:val="auto"/>
          <w:sz w:val="32"/>
        </w:rPr>
        <w:t>工作</w:t>
      </w:r>
      <w:r>
        <w:rPr>
          <w:rFonts w:hint="eastAsia" w:ascii="仿宋_GB2312" w:hAnsi="黑体" w:eastAsia="仿宋_GB2312"/>
          <w:color w:val="auto"/>
          <w:sz w:val="32"/>
          <w:lang w:eastAsia="zh-CN"/>
        </w:rPr>
        <w:t>；</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四</w:t>
      </w:r>
      <w:r>
        <w:rPr>
          <w:rFonts w:hint="eastAsia" w:ascii="仿宋_GB2312" w:hAnsi="黑体" w:eastAsia="仿宋_GB2312"/>
          <w:color w:val="auto"/>
          <w:sz w:val="32"/>
        </w:rPr>
        <w:t>）负责市内六区以及其他</w:t>
      </w:r>
      <w:r>
        <w:rPr>
          <w:rFonts w:hint="eastAsia" w:ascii="仿宋_GB2312" w:hAnsi="黑体" w:eastAsia="仿宋_GB2312"/>
          <w:color w:val="auto"/>
          <w:sz w:val="32"/>
          <w:lang w:eastAsia="zh-CN"/>
        </w:rPr>
        <w:t>由</w:t>
      </w:r>
      <w:r>
        <w:rPr>
          <w:rFonts w:hint="eastAsia" w:ascii="仿宋_GB2312" w:hAnsi="黑体" w:eastAsia="仿宋_GB2312"/>
          <w:color w:val="auto"/>
          <w:sz w:val="32"/>
        </w:rPr>
        <w:t>市级</w:t>
      </w:r>
      <w:r>
        <w:rPr>
          <w:rFonts w:hint="eastAsia" w:ascii="仿宋_GB2312" w:hAnsi="黑体" w:eastAsia="仿宋_GB2312"/>
          <w:color w:val="auto"/>
          <w:sz w:val="32"/>
          <w:lang w:eastAsia="zh-CN"/>
        </w:rPr>
        <w:t>监管</w:t>
      </w:r>
      <w:r>
        <w:rPr>
          <w:rFonts w:hint="eastAsia" w:ascii="仿宋_GB2312" w:hAnsi="黑体" w:eastAsia="仿宋_GB2312"/>
          <w:color w:val="auto"/>
          <w:sz w:val="32"/>
        </w:rPr>
        <w:t>的从业单位的</w:t>
      </w:r>
      <w:r>
        <w:rPr>
          <w:rFonts w:hint="eastAsia" w:ascii="仿宋_GB2312" w:hAnsi="黑体" w:eastAsia="仿宋_GB2312"/>
          <w:color w:val="auto"/>
          <w:sz w:val="32"/>
          <w:lang w:eastAsia="zh-CN"/>
        </w:rPr>
        <w:t>基本信息管理、</w:t>
      </w:r>
      <w:r>
        <w:rPr>
          <w:rFonts w:hint="eastAsia" w:ascii="仿宋_GB2312" w:hAnsi="黑体" w:eastAsia="仿宋_GB2312"/>
          <w:color w:val="auto"/>
          <w:sz w:val="32"/>
        </w:rPr>
        <w:t>信用</w:t>
      </w:r>
      <w:r>
        <w:rPr>
          <w:rFonts w:hint="eastAsia" w:ascii="仿宋_GB2312" w:hAnsi="黑体" w:eastAsia="仿宋_GB2312"/>
          <w:color w:val="auto"/>
          <w:sz w:val="32"/>
          <w:lang w:eastAsia="zh-CN"/>
        </w:rPr>
        <w:t>评价指标</w:t>
      </w:r>
      <w:r>
        <w:rPr>
          <w:rFonts w:hint="eastAsia" w:ascii="仿宋_GB2312" w:hAnsi="黑体" w:eastAsia="仿宋_GB2312"/>
          <w:color w:val="auto"/>
          <w:sz w:val="32"/>
        </w:rPr>
        <w:t>信息</w:t>
      </w:r>
      <w:r>
        <w:rPr>
          <w:rFonts w:hint="eastAsia" w:ascii="仿宋_GB2312" w:hAnsi="黑体" w:eastAsia="仿宋_GB2312"/>
          <w:color w:val="auto"/>
          <w:sz w:val="32"/>
          <w:lang w:eastAsia="zh-CN"/>
        </w:rPr>
        <w:t>认定、异议处理等</w:t>
      </w:r>
      <w:r>
        <w:rPr>
          <w:rFonts w:hint="eastAsia" w:ascii="仿宋_GB2312" w:hAnsi="黑体" w:eastAsia="仿宋_GB2312"/>
          <w:color w:val="auto"/>
          <w:sz w:val="32"/>
        </w:rPr>
        <w:t>工作；</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（五）负责全市从业单位信用评价结果公示工作；</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lang w:eastAsia="zh-CN"/>
        </w:rPr>
        <w:t>（六）</w:t>
      </w:r>
      <w:r>
        <w:rPr>
          <w:rFonts w:hint="eastAsia" w:ascii="仿宋_GB2312" w:hAnsi="仿宋" w:eastAsia="仿宋_GB2312" w:cs="??"/>
          <w:bCs/>
          <w:color w:val="auto"/>
          <w:kern w:val="0"/>
          <w:sz w:val="32"/>
          <w:szCs w:val="32"/>
          <w:lang w:eastAsia="zh-CN"/>
        </w:rPr>
        <w:t>根据信用评价结果实施分级分类监管及有关</w:t>
      </w:r>
      <w:r>
        <w:rPr>
          <w:rFonts w:hint="eastAsia" w:ascii="仿宋_GB2312" w:hAnsi="仿宋" w:eastAsia="仿宋_GB2312" w:cs="??"/>
          <w:bCs/>
          <w:color w:val="auto"/>
          <w:kern w:val="0"/>
          <w:sz w:val="32"/>
          <w:szCs w:val="32"/>
        </w:rPr>
        <w:t>工作</w:t>
      </w:r>
      <w:r>
        <w:rPr>
          <w:rFonts w:hint="eastAsia" w:ascii="仿宋_GB2312" w:hAnsi="黑体" w:eastAsia="仿宋_GB2312"/>
          <w:color w:val="auto"/>
          <w:sz w:val="32"/>
        </w:rPr>
        <w:t>。</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区级水路运输管理部门具体实施本行政区域内水路运输市场信用</w:t>
      </w:r>
      <w:r>
        <w:rPr>
          <w:rFonts w:hint="eastAsia" w:ascii="仿宋_GB2312" w:hAnsi="黑体" w:eastAsia="仿宋_GB2312"/>
          <w:color w:val="auto"/>
          <w:sz w:val="32"/>
          <w:lang w:eastAsia="zh-CN"/>
        </w:rPr>
        <w:t>评价有关</w:t>
      </w:r>
      <w:r>
        <w:rPr>
          <w:rFonts w:hint="eastAsia" w:ascii="仿宋_GB2312" w:hAnsi="黑体" w:eastAsia="仿宋_GB2312"/>
          <w:color w:val="auto"/>
          <w:sz w:val="32"/>
        </w:rPr>
        <w:t>工作。主要职责是：</w:t>
      </w:r>
      <w:r>
        <w:rPr>
          <w:rFonts w:hint="eastAsia" w:ascii="仿宋_GB2312" w:hAnsi="黑体" w:eastAsia="仿宋_GB2312"/>
          <w:color w:val="auto"/>
          <w:sz w:val="32"/>
        </w:rPr>
        <w:tab/>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（一）贯彻</w:t>
      </w:r>
      <w:r>
        <w:rPr>
          <w:rFonts w:hint="eastAsia" w:ascii="仿宋_GB2312" w:hAnsi="黑体" w:eastAsia="仿宋_GB2312"/>
          <w:color w:val="auto"/>
          <w:sz w:val="32"/>
          <w:lang w:eastAsia="zh-CN"/>
        </w:rPr>
        <w:t>落实</w:t>
      </w:r>
      <w:r>
        <w:rPr>
          <w:rFonts w:hint="eastAsia" w:ascii="仿宋_GB2312" w:hAnsi="黑体" w:eastAsia="仿宋_GB2312"/>
          <w:color w:val="auto"/>
          <w:sz w:val="32"/>
        </w:rPr>
        <w:t>国家和天津市水路运输市场信用管理</w:t>
      </w:r>
      <w:r>
        <w:rPr>
          <w:rFonts w:hint="eastAsia" w:ascii="仿宋_GB2312" w:hAnsi="黑体" w:eastAsia="仿宋_GB2312"/>
          <w:color w:val="auto"/>
          <w:sz w:val="32"/>
          <w:lang w:eastAsia="zh-CN"/>
        </w:rPr>
        <w:t>、事中事后监管</w:t>
      </w:r>
      <w:r>
        <w:rPr>
          <w:rFonts w:hint="eastAsia" w:ascii="仿宋_GB2312" w:hAnsi="黑体" w:eastAsia="仿宋_GB2312"/>
          <w:color w:val="auto"/>
          <w:sz w:val="32"/>
        </w:rPr>
        <w:t>相关</w:t>
      </w:r>
      <w:r>
        <w:rPr>
          <w:rFonts w:hint="eastAsia" w:ascii="仿宋_GB2312" w:hAnsi="黑体" w:eastAsia="仿宋_GB2312"/>
          <w:color w:val="auto"/>
          <w:sz w:val="32"/>
          <w:lang w:eastAsia="zh-CN"/>
        </w:rPr>
        <w:t>要求</w:t>
      </w:r>
      <w:r>
        <w:rPr>
          <w:rFonts w:hint="eastAsia" w:ascii="仿宋_GB2312" w:hAnsi="黑体" w:eastAsia="仿宋_GB2312"/>
          <w:color w:val="auto"/>
          <w:sz w:val="32"/>
        </w:rPr>
        <w:t>；</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rPr>
        <w:t>（二）负责本行政区域内从业单位</w:t>
      </w:r>
      <w:r>
        <w:rPr>
          <w:rFonts w:hint="eastAsia" w:ascii="仿宋_GB2312" w:hAnsi="黑体" w:eastAsia="仿宋_GB2312"/>
          <w:color w:val="auto"/>
          <w:sz w:val="32"/>
          <w:lang w:eastAsia="zh-CN"/>
        </w:rPr>
        <w:t>的基本信息管理、</w:t>
      </w:r>
      <w:r>
        <w:rPr>
          <w:rFonts w:hint="eastAsia" w:ascii="仿宋_GB2312" w:hAnsi="黑体" w:eastAsia="仿宋_GB2312"/>
          <w:color w:val="auto"/>
          <w:sz w:val="32"/>
        </w:rPr>
        <w:t>信用</w:t>
      </w:r>
      <w:r>
        <w:rPr>
          <w:rFonts w:hint="eastAsia" w:ascii="仿宋_GB2312" w:hAnsi="黑体" w:eastAsia="仿宋_GB2312"/>
          <w:color w:val="auto"/>
          <w:sz w:val="32"/>
          <w:lang w:eastAsia="zh-CN"/>
        </w:rPr>
        <w:t>评价指标</w:t>
      </w:r>
      <w:r>
        <w:rPr>
          <w:rFonts w:hint="eastAsia" w:ascii="仿宋_GB2312" w:hAnsi="黑体" w:eastAsia="仿宋_GB2312"/>
          <w:color w:val="auto"/>
          <w:sz w:val="32"/>
        </w:rPr>
        <w:t>信息</w:t>
      </w:r>
      <w:r>
        <w:rPr>
          <w:rFonts w:hint="eastAsia" w:ascii="仿宋_GB2312" w:hAnsi="黑体" w:eastAsia="仿宋_GB2312"/>
          <w:color w:val="auto"/>
          <w:sz w:val="32"/>
          <w:lang w:eastAsia="zh-CN"/>
        </w:rPr>
        <w:t>认定、异议处理等</w:t>
      </w:r>
      <w:r>
        <w:rPr>
          <w:rFonts w:hint="eastAsia" w:ascii="仿宋_GB2312" w:hAnsi="黑体" w:eastAsia="仿宋_GB2312"/>
          <w:color w:val="auto"/>
          <w:sz w:val="32"/>
        </w:rPr>
        <w:t>工作</w:t>
      </w:r>
      <w:r>
        <w:rPr>
          <w:rFonts w:hint="eastAsia" w:ascii="仿宋_GB2312" w:hAnsi="黑体" w:eastAsia="仿宋_GB2312"/>
          <w:color w:val="auto"/>
          <w:sz w:val="32"/>
          <w:lang w:eastAsia="zh-CN"/>
        </w:rPr>
        <w:t>；</w:t>
      </w:r>
    </w:p>
    <w:p>
      <w:pPr>
        <w:shd w:val="clear"/>
        <w:spacing w:line="579" w:lineRule="exact"/>
        <w:ind w:firstLine="640" w:firstLineChars="200"/>
        <w:rPr>
          <w:rFonts w:ascii="仿宋_GB2312" w:hAnsi="仿宋" w:eastAsia="仿宋_GB2312" w:cs="??"/>
          <w:bCs/>
          <w:color w:val="auto"/>
          <w:kern w:val="0"/>
          <w:sz w:val="32"/>
          <w:szCs w:val="32"/>
        </w:rPr>
      </w:pPr>
      <w:r>
        <w:rPr>
          <w:rFonts w:hint="eastAsia" w:ascii="仿宋_GB2312" w:hAnsi="仿宋" w:eastAsia="仿宋_GB2312" w:cs="??"/>
          <w:bCs/>
          <w:color w:val="auto"/>
          <w:kern w:val="0"/>
          <w:sz w:val="32"/>
          <w:szCs w:val="32"/>
        </w:rPr>
        <w:t>（三）</w:t>
      </w:r>
      <w:r>
        <w:rPr>
          <w:rFonts w:hint="eastAsia" w:ascii="仿宋_GB2312" w:hAnsi="仿宋" w:eastAsia="仿宋_GB2312" w:cs="??"/>
          <w:bCs/>
          <w:color w:val="auto"/>
          <w:kern w:val="0"/>
          <w:sz w:val="32"/>
          <w:szCs w:val="32"/>
          <w:lang w:eastAsia="zh-CN"/>
        </w:rPr>
        <w:t>根据信用评价结果实施分级分类监管及有关</w:t>
      </w:r>
      <w:r>
        <w:rPr>
          <w:rFonts w:hint="eastAsia" w:ascii="仿宋_GB2312" w:hAnsi="仿宋" w:eastAsia="仿宋_GB2312" w:cs="??"/>
          <w:bCs/>
          <w:color w:val="auto"/>
          <w:kern w:val="0"/>
          <w:sz w:val="32"/>
          <w:szCs w:val="32"/>
        </w:rPr>
        <w:t>工作。</w:t>
      </w:r>
    </w:p>
    <w:p>
      <w:pPr>
        <w:shd w:val="clear"/>
        <w:spacing w:line="579" w:lineRule="exact"/>
        <w:rPr>
          <w:rFonts w:ascii="仿宋_GB2312" w:hAnsi="黑体" w:eastAsia="仿宋_GB2312"/>
          <w:b/>
          <w:color w:val="auto"/>
          <w:sz w:val="32"/>
        </w:rPr>
      </w:pP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第二章</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黑体" w:cs="Times New Roman"/>
          <w:color w:val="auto"/>
          <w:sz w:val="32"/>
          <w:szCs w:val="32"/>
        </w:rPr>
        <w:t>信用</w:t>
      </w:r>
      <w:r>
        <w:rPr>
          <w:rFonts w:hint="eastAsia" w:ascii="Times New Roman" w:hAnsi="Times New Roman" w:eastAsia="黑体" w:cs="Times New Roman"/>
          <w:color w:val="auto"/>
          <w:sz w:val="32"/>
          <w:szCs w:val="32"/>
          <w:lang w:eastAsia="zh-CN"/>
        </w:rPr>
        <w:t>评价指标</w:t>
      </w:r>
    </w:p>
    <w:p>
      <w:pPr>
        <w:pStyle w:val="27"/>
        <w:widowControl/>
        <w:shd w:val="clear" w:color="auto"/>
        <w:spacing w:line="420" w:lineRule="atLeast"/>
        <w:ind w:firstLine="0" w:firstLineChars="0"/>
        <w:rPr>
          <w:rFonts w:ascii="仿宋_GB2312" w:hAnsi="宋体" w:eastAsia="仿宋_GB2312" w:cs="宋体"/>
          <w:color w:val="auto"/>
          <w:kern w:val="0"/>
          <w:sz w:val="32"/>
          <w:szCs w:val="32"/>
        </w:rPr>
      </w:pP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五</w:t>
      </w:r>
      <w:r>
        <w:rPr>
          <w:rFonts w:hint="eastAsia" w:ascii="仿宋_GB2312" w:hAnsi="黑体" w:eastAsia="仿宋_GB2312"/>
          <w:b/>
          <w:color w:val="auto"/>
          <w:sz w:val="32"/>
        </w:rPr>
        <w:t>条</w:t>
      </w:r>
      <w:r>
        <w:rPr>
          <w:rFonts w:hint="eastAsia" w:ascii="仿宋_GB2312" w:hAnsi="黑体" w:eastAsia="仿宋_GB2312"/>
          <w:color w:val="auto"/>
          <w:sz w:val="32"/>
        </w:rPr>
        <w:t xml:space="preserve"> 水路运输市场信用</w:t>
      </w:r>
      <w:r>
        <w:rPr>
          <w:rFonts w:hint="eastAsia" w:ascii="仿宋_GB2312" w:hAnsi="黑体" w:eastAsia="仿宋_GB2312"/>
          <w:color w:val="auto"/>
          <w:sz w:val="32"/>
          <w:lang w:eastAsia="zh-CN"/>
        </w:rPr>
        <w:t>评价指标</w:t>
      </w:r>
      <w:r>
        <w:rPr>
          <w:rFonts w:hint="eastAsia" w:ascii="仿宋_GB2312" w:hAnsi="黑体" w:eastAsia="仿宋_GB2312"/>
          <w:color w:val="auto"/>
          <w:sz w:val="32"/>
        </w:rPr>
        <w:t>信息是指天津</w:t>
      </w:r>
      <w:r>
        <w:rPr>
          <w:rFonts w:hint="eastAsia" w:ascii="仿宋_GB2312" w:hAnsi="黑体" w:eastAsia="仿宋_GB2312"/>
          <w:color w:val="auto"/>
          <w:sz w:val="32"/>
          <w:lang w:eastAsia="zh-CN"/>
        </w:rPr>
        <w:t>市港航管理局、</w:t>
      </w:r>
      <w:r>
        <w:rPr>
          <w:rFonts w:hint="eastAsia" w:ascii="仿宋_GB2312" w:hAnsi="黑体" w:eastAsia="仿宋_GB2312"/>
          <w:color w:val="auto"/>
          <w:sz w:val="32"/>
        </w:rPr>
        <w:t>区级水路运输管理部门在履行</w:t>
      </w:r>
      <w:r>
        <w:rPr>
          <w:rFonts w:hint="eastAsia" w:ascii="仿宋_GB2312" w:hAnsi="黑体" w:eastAsia="仿宋_GB2312"/>
          <w:color w:val="auto"/>
          <w:sz w:val="32"/>
          <w:lang w:eastAsia="zh-CN"/>
        </w:rPr>
        <w:t>监管</w:t>
      </w:r>
      <w:r>
        <w:rPr>
          <w:rFonts w:hint="eastAsia" w:ascii="仿宋_GB2312" w:hAnsi="黑体" w:eastAsia="仿宋_GB2312"/>
          <w:color w:val="auto"/>
          <w:sz w:val="32"/>
        </w:rPr>
        <w:t>职责、提供</w:t>
      </w:r>
      <w:r>
        <w:rPr>
          <w:rFonts w:hint="eastAsia" w:ascii="仿宋_GB2312" w:hAnsi="黑体" w:eastAsia="仿宋_GB2312"/>
          <w:color w:val="auto"/>
          <w:sz w:val="32"/>
          <w:lang w:eastAsia="zh-CN"/>
        </w:rPr>
        <w:t>政务</w:t>
      </w:r>
      <w:r>
        <w:rPr>
          <w:rFonts w:hint="eastAsia" w:ascii="仿宋_GB2312" w:hAnsi="黑体" w:eastAsia="仿宋_GB2312"/>
          <w:color w:val="auto"/>
          <w:sz w:val="32"/>
        </w:rPr>
        <w:t>服务</w:t>
      </w:r>
      <w:r>
        <w:rPr>
          <w:rFonts w:hint="eastAsia" w:ascii="仿宋_GB2312" w:hAnsi="黑体" w:eastAsia="仿宋_GB2312"/>
          <w:color w:val="auto"/>
          <w:sz w:val="32"/>
          <w:lang w:eastAsia="zh-CN"/>
        </w:rPr>
        <w:t>等</w:t>
      </w:r>
      <w:r>
        <w:rPr>
          <w:rFonts w:hint="eastAsia" w:ascii="仿宋_GB2312" w:hAnsi="黑体" w:eastAsia="仿宋_GB2312"/>
          <w:color w:val="auto"/>
          <w:sz w:val="32"/>
        </w:rPr>
        <w:t>过程中产生或获取的反映水路运输市场从业单位信用状况的信息，主要包括基本信息、</w:t>
      </w:r>
      <w:r>
        <w:rPr>
          <w:rFonts w:hint="eastAsia" w:ascii="仿宋_GB2312" w:hAnsi="黑体" w:eastAsia="仿宋_GB2312"/>
          <w:color w:val="auto"/>
          <w:sz w:val="32"/>
          <w:lang w:eastAsia="zh-CN"/>
        </w:rPr>
        <w:t>加分项目信息</w:t>
      </w:r>
      <w:r>
        <w:rPr>
          <w:rFonts w:hint="eastAsia" w:ascii="仿宋_GB2312" w:hAnsi="黑体" w:eastAsia="仿宋_GB2312"/>
          <w:color w:val="auto"/>
          <w:sz w:val="32"/>
        </w:rPr>
        <w:t>和</w:t>
      </w:r>
      <w:r>
        <w:rPr>
          <w:rFonts w:hint="eastAsia" w:ascii="仿宋_GB2312" w:hAnsi="黑体" w:eastAsia="仿宋_GB2312"/>
          <w:color w:val="auto"/>
          <w:sz w:val="32"/>
          <w:lang w:eastAsia="zh-CN"/>
        </w:rPr>
        <w:t>减分项目信息</w:t>
      </w:r>
      <w:r>
        <w:rPr>
          <w:rFonts w:hint="eastAsia" w:ascii="仿宋_GB2312" w:hAnsi="黑体" w:eastAsia="仿宋_GB2312"/>
          <w:color w:val="auto"/>
          <w:sz w:val="32"/>
        </w:rPr>
        <w:t>等。</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六</w:t>
      </w:r>
      <w:r>
        <w:rPr>
          <w:rFonts w:hint="eastAsia" w:ascii="仿宋_GB2312" w:hAnsi="黑体" w:eastAsia="仿宋_GB2312"/>
          <w:b/>
          <w:color w:val="auto"/>
          <w:sz w:val="32"/>
        </w:rPr>
        <w:t>条</w:t>
      </w:r>
      <w:r>
        <w:rPr>
          <w:rFonts w:hint="eastAsia" w:ascii="黑体" w:hAnsi="黑体" w:eastAsia="黑体"/>
          <w:color w:val="auto"/>
          <w:sz w:val="32"/>
        </w:rPr>
        <w:t xml:space="preserve"> </w:t>
      </w:r>
      <w:r>
        <w:rPr>
          <w:rFonts w:hint="eastAsia" w:ascii="仿宋_GB2312" w:hAnsi="黑体" w:eastAsia="仿宋_GB2312"/>
          <w:color w:val="auto"/>
          <w:sz w:val="32"/>
        </w:rPr>
        <w:t>基本信息包括下列内容：</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（一）名称、法定代表人、统一社会信用代码等登记注册信息；</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w:t>
      </w:r>
      <w:r>
        <w:rPr>
          <w:rFonts w:hint="eastAsia" w:ascii="仿宋_GB2312" w:hAnsi="黑体" w:eastAsia="仿宋_GB2312"/>
          <w:color w:val="auto"/>
          <w:szCs w:val="21"/>
        </w:rPr>
        <w:t>取得的水路运输市场经营资质等行政许可</w:t>
      </w:r>
      <w:r>
        <w:rPr>
          <w:rFonts w:hint="eastAsia" w:hAnsi="黑体"/>
          <w:color w:val="auto"/>
          <w:szCs w:val="21"/>
          <w:lang w:eastAsia="zh-CN"/>
        </w:rPr>
        <w:t>、备案及营运船舶等</w:t>
      </w:r>
      <w:r>
        <w:rPr>
          <w:rFonts w:hint="eastAsia" w:ascii="仿宋_GB2312" w:hAnsi="黑体" w:eastAsia="仿宋_GB2312"/>
          <w:color w:val="auto"/>
          <w:szCs w:val="21"/>
        </w:rPr>
        <w:t>信息</w:t>
      </w:r>
      <w:r>
        <w:rPr>
          <w:rFonts w:hint="eastAsia" w:ascii="仿宋_GB2312" w:hAnsi="黑体" w:eastAsia="仿宋_GB2312"/>
          <w:color w:val="auto"/>
          <w:sz w:val="32"/>
        </w:rPr>
        <w:t>；</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三</w:t>
      </w:r>
      <w:r>
        <w:rPr>
          <w:rFonts w:hint="eastAsia" w:ascii="仿宋_GB2312" w:hAnsi="黑体" w:eastAsia="仿宋_GB2312"/>
          <w:color w:val="auto"/>
          <w:sz w:val="32"/>
        </w:rPr>
        <w:t>）</w:t>
      </w:r>
      <w:r>
        <w:rPr>
          <w:rFonts w:hint="eastAsia" w:ascii="仿宋_GB2312" w:hAnsi="黑体" w:eastAsia="仿宋_GB2312"/>
          <w:color w:val="auto"/>
          <w:sz w:val="32"/>
          <w:lang w:eastAsia="zh-CN"/>
        </w:rPr>
        <w:t>法定代表人（或主要负责人）</w:t>
      </w:r>
      <w:r>
        <w:rPr>
          <w:rFonts w:hint="eastAsia" w:ascii="仿宋_GB2312" w:hAnsi="黑体" w:eastAsia="仿宋_GB2312"/>
          <w:color w:val="auto"/>
          <w:sz w:val="32"/>
        </w:rPr>
        <w:t>姓名、身份证件号</w:t>
      </w:r>
      <w:r>
        <w:rPr>
          <w:rFonts w:hint="eastAsia" w:ascii="仿宋_GB2312" w:hAnsi="黑体" w:eastAsia="仿宋_GB2312"/>
          <w:color w:val="auto"/>
          <w:sz w:val="32"/>
          <w:lang w:eastAsia="zh-CN"/>
        </w:rPr>
        <w:t>、联系方式</w:t>
      </w:r>
      <w:r>
        <w:rPr>
          <w:rFonts w:hint="eastAsia" w:ascii="仿宋_GB2312" w:hAnsi="黑体" w:eastAsia="仿宋_GB2312"/>
          <w:color w:val="auto"/>
          <w:sz w:val="32"/>
        </w:rPr>
        <w:t>等个人信息</w:t>
      </w:r>
      <w:r>
        <w:rPr>
          <w:rFonts w:hint="eastAsia" w:ascii="仿宋_GB2312" w:hAnsi="黑体" w:eastAsia="仿宋_GB2312"/>
          <w:color w:val="auto"/>
          <w:sz w:val="32"/>
          <w:lang w:eastAsia="zh-CN"/>
        </w:rPr>
        <w:t>及有关从业人员信息</w:t>
      </w:r>
      <w:r>
        <w:rPr>
          <w:rFonts w:hint="eastAsia" w:ascii="仿宋_GB2312" w:hAnsi="黑体" w:eastAsia="仿宋_GB2312"/>
          <w:color w:val="auto"/>
          <w:sz w:val="32"/>
        </w:rPr>
        <w:t>；</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四</w:t>
      </w:r>
      <w:r>
        <w:rPr>
          <w:rFonts w:hint="eastAsia" w:ascii="仿宋_GB2312" w:hAnsi="黑体" w:eastAsia="仿宋_GB2312"/>
          <w:color w:val="auto"/>
          <w:sz w:val="32"/>
        </w:rPr>
        <w:t>）其他与信用相关反映从业单位基本情况的相关信息。</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从业单位基本信息发生变化的，从业单位和相关管理部门应及时更新有关信息，保持信息真实有效。</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七</w:t>
      </w:r>
      <w:r>
        <w:rPr>
          <w:rFonts w:hint="eastAsia" w:ascii="仿宋_GB2312" w:hAnsi="黑体" w:eastAsia="仿宋_GB2312"/>
          <w:b/>
          <w:color w:val="auto"/>
          <w:sz w:val="32"/>
        </w:rPr>
        <w:t>条</w:t>
      </w:r>
      <w:r>
        <w:rPr>
          <w:rFonts w:hint="eastAsia" w:ascii="黑体" w:hAnsi="黑体" w:eastAsia="黑体"/>
          <w:color w:val="auto"/>
          <w:sz w:val="32"/>
        </w:rPr>
        <w:t xml:space="preserve"> </w:t>
      </w:r>
      <w:r>
        <w:rPr>
          <w:rFonts w:hint="eastAsia" w:ascii="仿宋_GB2312" w:hAnsi="黑体" w:eastAsia="仿宋_GB2312"/>
          <w:color w:val="auto"/>
          <w:sz w:val="32"/>
          <w:lang w:eastAsia="zh-CN"/>
        </w:rPr>
        <w:t>加分项目信息主要</w:t>
      </w:r>
      <w:r>
        <w:rPr>
          <w:rFonts w:hint="eastAsia" w:ascii="仿宋_GB2312" w:hAnsi="黑体" w:eastAsia="仿宋_GB2312"/>
          <w:color w:val="auto"/>
          <w:sz w:val="32"/>
        </w:rPr>
        <w:t>包括下列内容：</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（一）国务院交通运输主管部门、省级交通运输主管部门认定的表彰奖励；</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（二）国务院交通运输主管部门认定的全国性或省级水路运输行业协会的表彰奖励；</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rPr>
        <w:t>（三）</w:t>
      </w:r>
      <w:r>
        <w:rPr>
          <w:rFonts w:hint="eastAsia" w:ascii="仿宋_GB2312" w:hAnsi="黑体" w:eastAsia="仿宋_GB2312"/>
          <w:color w:val="auto"/>
          <w:sz w:val="32"/>
          <w:lang w:eastAsia="zh-CN"/>
        </w:rPr>
        <w:t>参与政府指令性应急运输任务信息；</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lang w:eastAsia="zh-CN"/>
        </w:rPr>
        <w:t>（四）其他省级以上政府部门认定的表彰奖励</w:t>
      </w:r>
      <w:r>
        <w:rPr>
          <w:rFonts w:hint="eastAsia" w:ascii="仿宋_GB2312" w:hAnsi="黑体" w:eastAsia="仿宋_GB2312"/>
          <w:color w:val="auto"/>
          <w:sz w:val="32"/>
        </w:rPr>
        <w:t>。</w:t>
      </w:r>
    </w:p>
    <w:p>
      <w:pPr>
        <w:shd w:val="clear"/>
        <w:spacing w:line="579" w:lineRule="exact"/>
        <w:ind w:firstLine="640" w:firstLineChars="200"/>
        <w:rPr>
          <w:rFonts w:hint="default" w:ascii="仿宋_GB2312" w:hAnsi="黑体" w:eastAsia="仿宋_GB2312"/>
          <w:color w:val="auto"/>
          <w:sz w:val="32"/>
          <w:lang w:val="en-US" w:eastAsia="zh-CN"/>
        </w:rPr>
      </w:pPr>
      <w:r>
        <w:rPr>
          <w:rFonts w:hint="eastAsia" w:ascii="仿宋_GB2312" w:hAnsi="黑体" w:eastAsia="仿宋_GB2312"/>
          <w:color w:val="auto"/>
          <w:sz w:val="32"/>
        </w:rPr>
        <w:t>从业单位</w:t>
      </w:r>
      <w:r>
        <w:rPr>
          <w:rFonts w:hint="eastAsia" w:ascii="仿宋_GB2312" w:hAnsi="黑体" w:eastAsia="仿宋_GB2312"/>
          <w:color w:val="auto"/>
          <w:sz w:val="32"/>
          <w:lang w:eastAsia="zh-CN"/>
        </w:rPr>
        <w:t>加分项目信息</w:t>
      </w:r>
      <w:r>
        <w:rPr>
          <w:rFonts w:hint="eastAsia" w:ascii="仿宋_GB2312" w:hAnsi="黑体" w:eastAsia="仿宋_GB2312"/>
          <w:color w:val="auto"/>
          <w:sz w:val="32"/>
        </w:rPr>
        <w:t>及</w:t>
      </w:r>
      <w:r>
        <w:rPr>
          <w:rFonts w:hint="eastAsia" w:ascii="仿宋_GB2312" w:hAnsi="黑体" w:eastAsia="仿宋_GB2312"/>
          <w:color w:val="auto"/>
          <w:sz w:val="32"/>
          <w:lang w:eastAsia="zh-CN"/>
        </w:rPr>
        <w:t>分值</w:t>
      </w:r>
      <w:r>
        <w:rPr>
          <w:rFonts w:hint="eastAsia" w:ascii="仿宋_GB2312" w:hAnsi="黑体" w:eastAsia="仿宋_GB2312"/>
          <w:color w:val="auto"/>
          <w:sz w:val="32"/>
        </w:rPr>
        <w:t>标准</w:t>
      </w:r>
      <w:r>
        <w:rPr>
          <w:rFonts w:hint="eastAsia" w:ascii="仿宋_GB2312" w:hAnsi="黑体" w:eastAsia="仿宋_GB2312"/>
          <w:color w:val="auto"/>
          <w:sz w:val="32"/>
          <w:lang w:eastAsia="zh-CN"/>
        </w:rPr>
        <w:t>见附件一</w:t>
      </w:r>
      <w:r>
        <w:rPr>
          <w:rFonts w:hint="eastAsia" w:ascii="仿宋_GB2312" w:hAnsi="黑体" w:eastAsia="仿宋_GB2312"/>
          <w:color w:val="auto"/>
          <w:sz w:val="32"/>
          <w:lang w:val="en-US" w:eastAsia="zh-CN"/>
        </w:rPr>
        <w:t>。</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八</w:t>
      </w:r>
      <w:r>
        <w:rPr>
          <w:rFonts w:hint="eastAsia" w:ascii="仿宋_GB2312" w:hAnsi="黑体" w:eastAsia="仿宋_GB2312"/>
          <w:b/>
          <w:color w:val="auto"/>
          <w:sz w:val="32"/>
        </w:rPr>
        <w:t>条</w:t>
      </w:r>
      <w:r>
        <w:rPr>
          <w:rFonts w:hint="eastAsia" w:ascii="黑体" w:hAnsi="黑体" w:eastAsia="黑体"/>
          <w:color w:val="auto"/>
          <w:sz w:val="32"/>
        </w:rPr>
        <w:t xml:space="preserve"> </w:t>
      </w:r>
      <w:r>
        <w:rPr>
          <w:rFonts w:hint="eastAsia" w:ascii="仿宋_GB2312" w:hAnsi="黑体" w:eastAsia="仿宋_GB2312"/>
          <w:color w:val="auto"/>
          <w:sz w:val="32"/>
          <w:lang w:eastAsia="zh-CN"/>
        </w:rPr>
        <w:t>减分项目信息主要</w:t>
      </w:r>
      <w:r>
        <w:rPr>
          <w:rFonts w:hint="eastAsia" w:ascii="仿宋_GB2312" w:hAnsi="黑体" w:eastAsia="仿宋_GB2312"/>
          <w:color w:val="auto"/>
          <w:sz w:val="32"/>
        </w:rPr>
        <w:t>包括下列内容：</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（一）在运输经营过程中违反有关法律法规标准的规定，受到相关交通运输管理部门行政处罚、行政强制</w:t>
      </w:r>
      <w:r>
        <w:rPr>
          <w:rFonts w:hint="eastAsia" w:ascii="仿宋_GB2312" w:hAnsi="黑体" w:eastAsia="仿宋_GB2312"/>
          <w:color w:val="auto"/>
          <w:sz w:val="32"/>
          <w:lang w:eastAsia="zh-CN"/>
        </w:rPr>
        <w:t>、撤销相关经营资格</w:t>
      </w:r>
      <w:r>
        <w:rPr>
          <w:rFonts w:hint="eastAsia" w:ascii="仿宋_GB2312" w:hAnsi="黑体" w:eastAsia="仿宋_GB2312"/>
          <w:color w:val="auto"/>
          <w:sz w:val="32"/>
        </w:rPr>
        <w:t>和通报批评等信息；</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二</w:t>
      </w:r>
      <w:r>
        <w:rPr>
          <w:rFonts w:hint="eastAsia" w:ascii="仿宋_GB2312" w:hAnsi="黑体" w:eastAsia="仿宋_GB2312"/>
          <w:color w:val="auto"/>
          <w:sz w:val="32"/>
        </w:rPr>
        <w:t>）在水路运输行政管理过程中，被相关交通运输管理部门认定为提供虚假材料或违反有关承诺的信息；</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三</w:t>
      </w:r>
      <w:r>
        <w:rPr>
          <w:rFonts w:hint="eastAsia" w:ascii="仿宋_GB2312" w:hAnsi="黑体" w:eastAsia="仿宋_GB2312"/>
          <w:color w:val="auto"/>
          <w:sz w:val="32"/>
        </w:rPr>
        <w:t>）在申请交通运输有关行政许可、财政补贴等过程中提供虚假材料、谎报瞒报重要事项的；</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四</w:t>
      </w:r>
      <w:r>
        <w:rPr>
          <w:rFonts w:hint="eastAsia" w:ascii="仿宋_GB2312" w:hAnsi="黑体" w:eastAsia="仿宋_GB2312"/>
          <w:color w:val="auto"/>
          <w:sz w:val="32"/>
        </w:rPr>
        <w:t>）存在被纳入交通运输安全生产“黑名单”的严重失信行为的；</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五</w:t>
      </w:r>
      <w:r>
        <w:rPr>
          <w:rFonts w:hint="eastAsia" w:ascii="仿宋_GB2312" w:hAnsi="黑体" w:eastAsia="仿宋_GB2312"/>
          <w:color w:val="auto"/>
          <w:sz w:val="32"/>
        </w:rPr>
        <w:t>）</w:t>
      </w:r>
      <w:r>
        <w:rPr>
          <w:rFonts w:hint="eastAsia" w:ascii="仿宋_GB2312" w:hAnsi="黑体" w:eastAsia="仿宋_GB2312"/>
          <w:color w:val="auto"/>
          <w:sz w:val="32"/>
          <w:lang w:eastAsia="zh-CN"/>
        </w:rPr>
        <w:t>各级</w:t>
      </w:r>
      <w:r>
        <w:rPr>
          <w:rFonts w:hint="eastAsia" w:ascii="仿宋_GB2312" w:hAnsi="黑体" w:eastAsia="仿宋_GB2312"/>
          <w:color w:val="auto"/>
          <w:sz w:val="32"/>
        </w:rPr>
        <w:t>交通运输主管部门认定的其他</w:t>
      </w:r>
      <w:r>
        <w:rPr>
          <w:rFonts w:hint="eastAsia" w:ascii="仿宋_GB2312" w:hAnsi="黑体" w:eastAsia="仿宋_GB2312"/>
          <w:color w:val="auto"/>
          <w:sz w:val="32"/>
          <w:lang w:eastAsia="zh-CN"/>
        </w:rPr>
        <w:t>减分项目信息</w:t>
      </w:r>
      <w:r>
        <w:rPr>
          <w:rFonts w:hint="eastAsia" w:ascii="仿宋_GB2312" w:hAnsi="黑体" w:eastAsia="仿宋_GB2312"/>
          <w:color w:val="auto"/>
          <w:sz w:val="32"/>
        </w:rPr>
        <w:t>。</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从业单位</w:t>
      </w:r>
      <w:r>
        <w:rPr>
          <w:rFonts w:hint="eastAsia" w:ascii="仿宋_GB2312" w:hAnsi="黑体" w:eastAsia="仿宋_GB2312"/>
          <w:color w:val="auto"/>
          <w:sz w:val="32"/>
          <w:lang w:eastAsia="zh-CN"/>
        </w:rPr>
        <w:t>减分项目信息</w:t>
      </w:r>
      <w:r>
        <w:rPr>
          <w:rFonts w:hint="eastAsia" w:ascii="仿宋_GB2312" w:hAnsi="黑体" w:eastAsia="仿宋_GB2312"/>
          <w:color w:val="auto"/>
          <w:sz w:val="32"/>
        </w:rPr>
        <w:t>及</w:t>
      </w:r>
      <w:r>
        <w:rPr>
          <w:rFonts w:hint="eastAsia" w:ascii="仿宋_GB2312" w:hAnsi="黑体" w:eastAsia="仿宋_GB2312"/>
          <w:color w:val="auto"/>
          <w:sz w:val="32"/>
          <w:lang w:eastAsia="zh-CN"/>
        </w:rPr>
        <w:t>分值</w:t>
      </w:r>
      <w:r>
        <w:rPr>
          <w:rFonts w:hint="eastAsia" w:ascii="仿宋_GB2312" w:hAnsi="黑体" w:eastAsia="仿宋_GB2312"/>
          <w:color w:val="auto"/>
          <w:sz w:val="32"/>
        </w:rPr>
        <w:t>标准</w:t>
      </w:r>
      <w:r>
        <w:rPr>
          <w:rFonts w:hint="eastAsia" w:ascii="仿宋_GB2312" w:hAnsi="黑体" w:eastAsia="仿宋_GB2312"/>
          <w:color w:val="auto"/>
          <w:sz w:val="32"/>
          <w:lang w:eastAsia="zh-CN"/>
        </w:rPr>
        <w:t>见附件</w:t>
      </w:r>
      <w:r>
        <w:rPr>
          <w:rFonts w:hint="eastAsia" w:ascii="仿宋_GB2312" w:hAnsi="黑体" w:eastAsia="仿宋_GB2312"/>
          <w:color w:val="auto"/>
          <w:sz w:val="32"/>
          <w:lang w:val="en-US" w:eastAsia="zh-CN"/>
        </w:rPr>
        <w:t>二。</w:t>
      </w:r>
    </w:p>
    <w:p>
      <w:pPr>
        <w:shd w:val="clear"/>
        <w:spacing w:line="579" w:lineRule="exact"/>
        <w:ind w:firstLine="642" w:firstLineChars="200"/>
        <w:rPr>
          <w:rFonts w:ascii="仿宋_GB2312" w:hAnsi="黑体" w:eastAsia="仿宋_GB2312"/>
          <w:b/>
          <w:color w:val="auto"/>
          <w:sz w:val="32"/>
        </w:rPr>
      </w:pPr>
      <w:r>
        <w:rPr>
          <w:rFonts w:hint="eastAsia" w:ascii="仿宋_GB2312" w:hAnsi="黑体" w:eastAsia="仿宋_GB2312"/>
          <w:b/>
          <w:bCs/>
          <w:color w:val="auto"/>
          <w:sz w:val="32"/>
        </w:rPr>
        <w:t>第</w:t>
      </w:r>
      <w:r>
        <w:rPr>
          <w:rFonts w:hint="eastAsia" w:ascii="仿宋_GB2312" w:hAnsi="黑体" w:eastAsia="仿宋_GB2312"/>
          <w:b/>
          <w:bCs/>
          <w:color w:val="auto"/>
          <w:sz w:val="32"/>
          <w:lang w:eastAsia="zh-CN"/>
        </w:rPr>
        <w:t>九</w:t>
      </w:r>
      <w:r>
        <w:rPr>
          <w:rFonts w:hint="eastAsia" w:ascii="仿宋_GB2312" w:hAnsi="黑体" w:eastAsia="仿宋_GB2312"/>
          <w:b/>
          <w:bCs/>
          <w:color w:val="auto"/>
          <w:sz w:val="32"/>
        </w:rPr>
        <w:t xml:space="preserve">条 </w:t>
      </w:r>
      <w:r>
        <w:rPr>
          <w:rFonts w:hint="eastAsia" w:ascii="仿宋_GB2312" w:hAnsi="黑体" w:eastAsia="仿宋_GB2312"/>
          <w:color w:val="auto"/>
          <w:sz w:val="32"/>
          <w:lang w:eastAsia="zh-CN"/>
        </w:rPr>
        <w:t>减分项目信息</w:t>
      </w:r>
      <w:r>
        <w:rPr>
          <w:rFonts w:hint="eastAsia" w:ascii="仿宋_GB2312" w:hAnsi="黑体" w:eastAsia="仿宋_GB2312"/>
          <w:color w:val="auto"/>
          <w:sz w:val="32"/>
        </w:rPr>
        <w:t>由天津</w:t>
      </w:r>
      <w:r>
        <w:rPr>
          <w:rFonts w:hint="eastAsia" w:ascii="仿宋_GB2312" w:hAnsi="黑体" w:eastAsia="仿宋_GB2312"/>
          <w:color w:val="auto"/>
          <w:sz w:val="32"/>
          <w:lang w:eastAsia="zh-CN"/>
        </w:rPr>
        <w:t>市港航管理局</w:t>
      </w:r>
      <w:r>
        <w:rPr>
          <w:rFonts w:hint="eastAsia" w:ascii="仿宋_GB2312" w:hAnsi="黑体" w:eastAsia="仿宋_GB2312"/>
          <w:color w:val="auto"/>
          <w:sz w:val="32"/>
        </w:rPr>
        <w:t>依据相关法律法规和信用管理</w:t>
      </w:r>
      <w:r>
        <w:rPr>
          <w:rFonts w:hint="eastAsia" w:ascii="仿宋_GB2312" w:hAnsi="黑体" w:eastAsia="仿宋_GB2312"/>
          <w:color w:val="auto"/>
          <w:sz w:val="32"/>
          <w:lang w:eastAsia="zh-CN"/>
        </w:rPr>
        <w:t>有关规定</w:t>
      </w:r>
      <w:r>
        <w:rPr>
          <w:rFonts w:hint="eastAsia" w:ascii="仿宋_GB2312" w:hAnsi="黑体" w:eastAsia="仿宋_GB2312"/>
          <w:color w:val="auto"/>
          <w:sz w:val="32"/>
        </w:rPr>
        <w:t>制定，</w:t>
      </w:r>
      <w:r>
        <w:rPr>
          <w:rFonts w:hint="eastAsia" w:ascii="仿宋_GB2312" w:hAnsi="黑体" w:eastAsia="仿宋_GB2312"/>
          <w:color w:val="auto"/>
          <w:sz w:val="32"/>
          <w:lang w:eastAsia="zh-CN"/>
        </w:rPr>
        <w:t>相关法律法规、政策文件等具体规定做出修订的，有关减分项目</w:t>
      </w:r>
      <w:r>
        <w:rPr>
          <w:rFonts w:hint="eastAsia" w:ascii="仿宋_GB2312" w:hAnsi="黑体" w:eastAsia="仿宋_GB2312"/>
          <w:color w:val="auto"/>
          <w:sz w:val="32"/>
          <w:lang w:val="en-US" w:eastAsia="zh-CN"/>
        </w:rPr>
        <w:t>信息内容同步</w:t>
      </w:r>
      <w:r>
        <w:rPr>
          <w:rFonts w:hint="eastAsia" w:ascii="仿宋_GB2312" w:hAnsi="黑体" w:eastAsia="仿宋_GB2312"/>
          <w:color w:val="auto"/>
          <w:sz w:val="32"/>
        </w:rPr>
        <w:t>调整。</w:t>
      </w:r>
    </w:p>
    <w:p>
      <w:pPr>
        <w:shd w:val="clear"/>
        <w:spacing w:line="579" w:lineRule="exact"/>
        <w:ind w:firstLine="642" w:firstLineChars="200"/>
        <w:rPr>
          <w:rFonts w:ascii="仿宋_GB2312" w:hAnsi="黑体" w:eastAsia="仿宋_GB2312"/>
          <w:b/>
          <w:color w:val="auto"/>
          <w:sz w:val="32"/>
        </w:rPr>
      </w:pP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第三章</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黑体" w:cs="Times New Roman"/>
          <w:color w:val="auto"/>
          <w:sz w:val="32"/>
          <w:szCs w:val="32"/>
        </w:rPr>
        <w:t>信用评价</w:t>
      </w:r>
    </w:p>
    <w:p>
      <w:pPr>
        <w:shd w:val="clear"/>
        <w:spacing w:line="579" w:lineRule="exact"/>
        <w:ind w:firstLine="642" w:firstLineChars="200"/>
        <w:rPr>
          <w:rFonts w:ascii="仿宋_GB2312" w:hAnsi="黑体" w:eastAsia="仿宋_GB2312"/>
          <w:b/>
          <w:color w:val="auto"/>
          <w:sz w:val="32"/>
        </w:rPr>
      </w:pPr>
    </w:p>
    <w:p>
      <w:pPr>
        <w:shd w:val="clear"/>
        <w:spacing w:line="579" w:lineRule="exact"/>
        <w:ind w:firstLine="642" w:firstLineChars="200"/>
        <w:rPr>
          <w:rFonts w:hint="eastAsia" w:ascii="仿宋_GB2312" w:hAnsi="黑体" w:eastAsia="仿宋_GB2312"/>
          <w:color w:val="auto"/>
          <w:sz w:val="32"/>
          <w:lang w:eastAsia="zh-CN"/>
        </w:rPr>
      </w:pPr>
      <w:r>
        <w:rPr>
          <w:rFonts w:hint="eastAsia" w:ascii="仿宋_GB2312" w:hAnsi="黑体" w:eastAsia="仿宋_GB2312"/>
          <w:b/>
          <w:color w:val="auto"/>
          <w:sz w:val="32"/>
        </w:rPr>
        <w:t>第十条</w:t>
      </w:r>
      <w:r>
        <w:rPr>
          <w:rFonts w:hint="eastAsia" w:ascii="仿宋_GB2312" w:hAnsi="黑体" w:eastAsia="仿宋_GB2312"/>
          <w:color w:val="auto"/>
          <w:sz w:val="32"/>
        </w:rPr>
        <w:t xml:space="preserve"> </w:t>
      </w:r>
      <w:r>
        <w:rPr>
          <w:rFonts w:hint="eastAsia" w:ascii="仿宋_GB2312" w:hAnsi="黑体" w:eastAsia="仿宋_GB2312"/>
          <w:color w:val="auto"/>
          <w:sz w:val="32"/>
          <w:lang w:eastAsia="zh-CN"/>
        </w:rPr>
        <w:t>水路运输市场</w:t>
      </w:r>
      <w:r>
        <w:rPr>
          <w:rFonts w:hint="eastAsia" w:ascii="仿宋_GB2312" w:hAnsi="黑体" w:eastAsia="仿宋_GB2312"/>
          <w:color w:val="auto"/>
          <w:sz w:val="32"/>
        </w:rPr>
        <w:t>信用评价工作原则上每年开展一次，</w:t>
      </w:r>
      <w:r>
        <w:rPr>
          <w:rFonts w:hint="eastAsia" w:ascii="仿宋_GB2312" w:hAnsi="黑体" w:eastAsia="仿宋_GB2312"/>
          <w:color w:val="auto"/>
          <w:sz w:val="32"/>
          <w:lang w:eastAsia="zh-CN"/>
        </w:rPr>
        <w:t>由天津市港航管理局、区级水路运输管理部门按照“谁监管、谁执法、谁认定”和“一家企业，一个结果”的原则，</w:t>
      </w:r>
      <w:r>
        <w:rPr>
          <w:rFonts w:hint="eastAsia" w:ascii="仿宋_GB2312" w:hAnsi="黑体" w:eastAsia="仿宋_GB2312"/>
          <w:color w:val="auto"/>
          <w:sz w:val="32"/>
        </w:rPr>
        <w:t>对</w:t>
      </w:r>
      <w:r>
        <w:rPr>
          <w:rFonts w:hint="eastAsia" w:ascii="仿宋_GB2312" w:hAnsi="黑体" w:eastAsia="仿宋_GB2312"/>
          <w:color w:val="auto"/>
          <w:sz w:val="32"/>
          <w:lang w:eastAsia="zh-CN"/>
        </w:rPr>
        <w:t>所辖</w:t>
      </w:r>
      <w:r>
        <w:rPr>
          <w:rFonts w:hint="eastAsia" w:ascii="仿宋_GB2312" w:hAnsi="黑体" w:eastAsia="仿宋_GB2312"/>
          <w:color w:val="auto"/>
          <w:sz w:val="32"/>
        </w:rPr>
        <w:t>从业单位</w:t>
      </w:r>
      <w:r>
        <w:rPr>
          <w:rFonts w:hint="eastAsia" w:ascii="仿宋_GB2312" w:hAnsi="黑体" w:eastAsia="仿宋_GB2312"/>
          <w:color w:val="auto"/>
          <w:sz w:val="32"/>
          <w:lang w:eastAsia="zh-CN"/>
        </w:rPr>
        <w:t>上一年度</w:t>
      </w:r>
      <w:r>
        <w:rPr>
          <w:rFonts w:hint="eastAsia" w:ascii="仿宋_GB2312" w:hAnsi="黑体" w:eastAsia="仿宋_GB2312"/>
          <w:color w:val="auto"/>
          <w:sz w:val="32"/>
        </w:rPr>
        <w:t>发生的</w:t>
      </w:r>
      <w:r>
        <w:rPr>
          <w:rFonts w:hint="eastAsia" w:ascii="仿宋_GB2312" w:hAnsi="黑体" w:eastAsia="仿宋_GB2312"/>
          <w:color w:val="auto"/>
          <w:sz w:val="32"/>
          <w:lang w:eastAsia="zh-CN"/>
        </w:rPr>
        <w:t>加分项目信息及减分项目信息</w:t>
      </w:r>
      <w:r>
        <w:rPr>
          <w:rFonts w:hint="eastAsia" w:ascii="仿宋_GB2312" w:hAnsi="黑体" w:eastAsia="仿宋_GB2312"/>
          <w:color w:val="auto"/>
          <w:sz w:val="32"/>
        </w:rPr>
        <w:t>进行认定</w:t>
      </w:r>
      <w:r>
        <w:rPr>
          <w:rFonts w:hint="eastAsia" w:ascii="仿宋_GB2312" w:hAnsi="黑体" w:eastAsia="仿宋_GB2312"/>
          <w:color w:val="auto"/>
          <w:sz w:val="32"/>
          <w:lang w:eastAsia="zh-CN"/>
        </w:rPr>
        <w:t>，并在基准分值上</w:t>
      </w:r>
      <w:r>
        <w:rPr>
          <w:rFonts w:hint="eastAsia" w:ascii="仿宋_GB2312" w:hAnsi="黑体" w:eastAsia="仿宋_GB2312"/>
          <w:color w:val="auto"/>
          <w:sz w:val="32"/>
        </w:rPr>
        <w:t>进行</w:t>
      </w:r>
      <w:r>
        <w:rPr>
          <w:rFonts w:hint="eastAsia" w:ascii="仿宋_GB2312" w:hAnsi="黑体" w:eastAsia="仿宋_GB2312"/>
          <w:color w:val="auto"/>
          <w:sz w:val="32"/>
          <w:lang w:eastAsia="zh-CN"/>
        </w:rPr>
        <w:t>计分，确定评价等级。</w:t>
      </w:r>
    </w:p>
    <w:p>
      <w:pPr>
        <w:shd w:val="clear"/>
        <w:spacing w:line="579" w:lineRule="exact"/>
        <w:ind w:firstLine="640" w:firstLineChars="200"/>
        <w:rPr>
          <w:rFonts w:hint="default" w:ascii="仿宋_GB2312" w:hAnsi="黑体" w:eastAsia="仿宋_GB2312"/>
          <w:color w:val="auto"/>
          <w:sz w:val="32"/>
          <w:lang w:val="en-US" w:eastAsia="zh-CN"/>
        </w:rPr>
      </w:pPr>
      <w:r>
        <w:rPr>
          <w:rFonts w:hint="eastAsia" w:ascii="仿宋_GB2312" w:hAnsi="黑体" w:eastAsia="仿宋_GB2312"/>
          <w:color w:val="auto"/>
          <w:sz w:val="32"/>
          <w:lang w:eastAsia="zh-CN"/>
        </w:rPr>
        <w:t>从业单位信用评价基准分值为</w:t>
      </w:r>
      <w:r>
        <w:rPr>
          <w:rFonts w:hint="eastAsia" w:ascii="仿宋_GB2312" w:hAnsi="黑体" w:eastAsia="仿宋_GB2312"/>
          <w:color w:val="auto"/>
          <w:sz w:val="32"/>
          <w:lang w:val="en-US" w:eastAsia="zh-CN"/>
        </w:rPr>
        <w:t>90分。</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lang w:eastAsia="zh-CN"/>
        </w:rPr>
        <w:t>同一个行为符合不同计分标准的，采用分值较高的指标进行认定；符合同一指标加减分的行为发生多次的，</w:t>
      </w:r>
      <w:r>
        <w:rPr>
          <w:rFonts w:hint="eastAsia" w:ascii="仿宋_GB2312" w:hAnsi="黑体" w:eastAsia="仿宋_GB2312"/>
          <w:color w:val="auto"/>
          <w:sz w:val="32"/>
        </w:rPr>
        <w:t>可以</w:t>
      </w:r>
      <w:r>
        <w:rPr>
          <w:rFonts w:hint="eastAsia" w:ascii="仿宋_GB2312" w:hAnsi="黑体" w:eastAsia="仿宋_GB2312"/>
          <w:color w:val="auto"/>
          <w:sz w:val="32"/>
          <w:lang w:eastAsia="zh-CN"/>
        </w:rPr>
        <w:t>累计参与计分</w:t>
      </w:r>
      <w:r>
        <w:rPr>
          <w:rFonts w:hint="eastAsia" w:ascii="仿宋_GB2312" w:hAnsi="黑体" w:eastAsia="仿宋_GB2312"/>
          <w:color w:val="auto"/>
          <w:sz w:val="32"/>
        </w:rPr>
        <w:t>。</w:t>
      </w:r>
    </w:p>
    <w:p>
      <w:pPr>
        <w:shd w:val="clear"/>
        <w:spacing w:line="579" w:lineRule="exact"/>
        <w:ind w:firstLine="640" w:firstLineChars="200"/>
        <w:rPr>
          <w:rFonts w:hint="default" w:ascii="仿宋_GB2312" w:hAnsi="黑体" w:eastAsia="仿宋_GB2312"/>
          <w:color w:val="auto"/>
          <w:sz w:val="32"/>
          <w:lang w:val="en-US" w:eastAsia="zh-CN"/>
        </w:rPr>
      </w:pPr>
      <w:r>
        <w:rPr>
          <w:rFonts w:hint="eastAsia" w:ascii="仿宋_GB2312" w:hAnsi="黑体" w:eastAsia="仿宋_GB2312"/>
          <w:color w:val="auto"/>
          <w:sz w:val="32"/>
          <w:lang w:eastAsia="zh-CN"/>
        </w:rPr>
        <w:t>从业单位发生“直接认定为</w:t>
      </w:r>
      <w:r>
        <w:rPr>
          <w:rFonts w:hint="eastAsia" w:ascii="仿宋_GB2312" w:hAnsi="黑体" w:eastAsia="仿宋_GB2312"/>
          <w:color w:val="auto"/>
          <w:sz w:val="32"/>
          <w:lang w:val="en-US" w:eastAsia="zh-CN"/>
        </w:rPr>
        <w:t>D级</w:t>
      </w:r>
      <w:r>
        <w:rPr>
          <w:rFonts w:hint="eastAsia" w:ascii="仿宋_GB2312" w:hAnsi="黑体" w:eastAsia="仿宋_GB2312"/>
          <w:color w:val="auto"/>
          <w:sz w:val="32"/>
          <w:lang w:eastAsia="zh-CN"/>
        </w:rPr>
        <w:t>”类别行为的，信用评价直接认定为</w:t>
      </w:r>
      <w:r>
        <w:rPr>
          <w:rFonts w:hint="eastAsia" w:ascii="仿宋_GB2312" w:hAnsi="黑体" w:eastAsia="仿宋_GB2312"/>
          <w:color w:val="auto"/>
          <w:sz w:val="32"/>
          <w:lang w:val="en-US" w:eastAsia="zh-CN"/>
        </w:rPr>
        <w:t>D级。</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一</w:t>
      </w:r>
      <w:r>
        <w:rPr>
          <w:rFonts w:hint="eastAsia" w:ascii="仿宋_GB2312" w:hAnsi="黑体" w:eastAsia="仿宋_GB2312"/>
          <w:b/>
          <w:color w:val="auto"/>
          <w:sz w:val="32"/>
        </w:rPr>
        <w:t>条</w:t>
      </w:r>
      <w:r>
        <w:rPr>
          <w:rFonts w:hint="eastAsia" w:ascii="仿宋_GB2312" w:hAnsi="黑体" w:eastAsia="仿宋_GB2312"/>
          <w:color w:val="auto"/>
          <w:sz w:val="32"/>
        </w:rPr>
        <w:t xml:space="preserve"> </w:t>
      </w:r>
      <w:r>
        <w:rPr>
          <w:rFonts w:hint="eastAsia" w:ascii="仿宋_GB2312" w:hAnsi="黑体" w:eastAsia="仿宋_GB2312"/>
          <w:color w:val="auto"/>
          <w:sz w:val="32"/>
          <w:lang w:eastAsia="zh-CN"/>
        </w:rPr>
        <w:t>水路运输市场</w:t>
      </w:r>
      <w:r>
        <w:rPr>
          <w:rFonts w:hint="eastAsia" w:ascii="仿宋_GB2312" w:hAnsi="黑体" w:eastAsia="仿宋_GB2312"/>
          <w:color w:val="auto"/>
          <w:sz w:val="32"/>
        </w:rPr>
        <w:t>信用评价分为AA、A、B、C、D五个等级。按照以下标准纳入相应等级：</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w:t>
      </w:r>
      <w:r>
        <w:rPr>
          <w:rFonts w:hint="eastAsia" w:ascii="仿宋_GB2312" w:hAnsi="黑体" w:eastAsia="仿宋_GB2312"/>
          <w:color w:val="auto"/>
          <w:sz w:val="32"/>
          <w:lang w:eastAsia="zh-CN"/>
        </w:rPr>
        <w:t>合计得分在</w:t>
      </w:r>
      <w:r>
        <w:rPr>
          <w:rFonts w:hint="eastAsia" w:ascii="仿宋_GB2312" w:hAnsi="黑体" w:eastAsia="仿宋_GB2312"/>
          <w:color w:val="auto"/>
          <w:sz w:val="32"/>
        </w:rPr>
        <w:t>9</w:t>
      </w:r>
      <w:r>
        <w:rPr>
          <w:rFonts w:hint="eastAsia" w:ascii="仿宋_GB2312" w:hAnsi="黑体" w:eastAsia="仿宋_GB2312"/>
          <w:color w:val="auto"/>
          <w:sz w:val="32"/>
          <w:lang w:val="en-US" w:eastAsia="zh-CN"/>
        </w:rPr>
        <w:t>1</w:t>
      </w:r>
      <w:r>
        <w:rPr>
          <w:rFonts w:hint="eastAsia" w:ascii="仿宋_GB2312" w:hAnsi="黑体" w:eastAsia="仿宋_GB2312"/>
          <w:color w:val="auto"/>
          <w:sz w:val="32"/>
        </w:rPr>
        <w:t>分以上的，信用等级为AA级；</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w:t>
      </w:r>
      <w:r>
        <w:rPr>
          <w:rFonts w:hint="eastAsia" w:ascii="仿宋_GB2312" w:hAnsi="黑体" w:eastAsia="仿宋_GB2312"/>
          <w:color w:val="auto"/>
          <w:sz w:val="32"/>
          <w:lang w:eastAsia="zh-CN"/>
        </w:rPr>
        <w:t>合计得分</w:t>
      </w:r>
      <w:r>
        <w:rPr>
          <w:rFonts w:hint="eastAsia" w:ascii="仿宋_GB2312" w:hAnsi="黑体" w:eastAsia="仿宋_GB2312"/>
          <w:color w:val="auto"/>
          <w:sz w:val="32"/>
        </w:rPr>
        <w:t>在8</w:t>
      </w:r>
      <w:r>
        <w:rPr>
          <w:rFonts w:hint="eastAsia" w:ascii="仿宋_GB2312" w:hAnsi="黑体" w:eastAsia="仿宋_GB2312"/>
          <w:color w:val="auto"/>
          <w:sz w:val="32"/>
          <w:lang w:val="en-US" w:eastAsia="zh-CN"/>
        </w:rPr>
        <w:t>1</w:t>
      </w:r>
      <w:r>
        <w:rPr>
          <w:rFonts w:hint="eastAsia" w:ascii="仿宋_GB2312" w:hAnsi="黑体" w:eastAsia="仿宋_GB2312"/>
          <w:color w:val="auto"/>
          <w:sz w:val="32"/>
        </w:rPr>
        <w:t>分-</w:t>
      </w:r>
      <w:r>
        <w:rPr>
          <w:rFonts w:hint="eastAsia" w:ascii="仿宋_GB2312" w:hAnsi="黑体" w:eastAsia="仿宋_GB2312"/>
          <w:color w:val="auto"/>
          <w:sz w:val="32"/>
          <w:lang w:val="en-US" w:eastAsia="zh-CN"/>
        </w:rPr>
        <w:t>90</w:t>
      </w:r>
      <w:r>
        <w:rPr>
          <w:rFonts w:hint="eastAsia" w:ascii="仿宋_GB2312" w:hAnsi="黑体" w:eastAsia="仿宋_GB2312"/>
          <w:color w:val="auto"/>
          <w:sz w:val="32"/>
        </w:rPr>
        <w:t>分的，信用等级为A级；</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（三）</w:t>
      </w:r>
      <w:r>
        <w:rPr>
          <w:rFonts w:hint="eastAsia" w:ascii="仿宋_GB2312" w:hAnsi="黑体" w:eastAsia="仿宋_GB2312"/>
          <w:color w:val="auto"/>
          <w:sz w:val="32"/>
          <w:lang w:eastAsia="zh-CN"/>
        </w:rPr>
        <w:t>合计得分</w:t>
      </w:r>
      <w:r>
        <w:rPr>
          <w:rFonts w:hint="eastAsia" w:ascii="仿宋_GB2312" w:hAnsi="黑体" w:eastAsia="仿宋_GB2312"/>
          <w:color w:val="auto"/>
          <w:sz w:val="32"/>
        </w:rPr>
        <w:t>在7</w:t>
      </w:r>
      <w:r>
        <w:rPr>
          <w:rFonts w:hint="eastAsia" w:ascii="仿宋_GB2312" w:hAnsi="黑体" w:eastAsia="仿宋_GB2312"/>
          <w:color w:val="auto"/>
          <w:sz w:val="32"/>
          <w:lang w:val="en-US" w:eastAsia="zh-CN"/>
        </w:rPr>
        <w:t>1</w:t>
      </w:r>
      <w:r>
        <w:rPr>
          <w:rFonts w:hint="eastAsia" w:ascii="仿宋_GB2312" w:hAnsi="黑体" w:eastAsia="仿宋_GB2312"/>
          <w:color w:val="auto"/>
          <w:sz w:val="32"/>
        </w:rPr>
        <w:t>分-</w:t>
      </w:r>
      <w:r>
        <w:rPr>
          <w:rFonts w:hint="eastAsia" w:ascii="仿宋_GB2312" w:hAnsi="黑体" w:eastAsia="仿宋_GB2312"/>
          <w:color w:val="auto"/>
          <w:sz w:val="32"/>
          <w:lang w:val="en-US" w:eastAsia="zh-CN"/>
        </w:rPr>
        <w:t>80</w:t>
      </w:r>
      <w:r>
        <w:rPr>
          <w:rFonts w:hint="eastAsia" w:ascii="仿宋_GB2312" w:hAnsi="黑体" w:eastAsia="仿宋_GB2312"/>
          <w:color w:val="auto"/>
          <w:sz w:val="32"/>
        </w:rPr>
        <w:t>分的，信用等级为B级；</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（四）</w:t>
      </w:r>
      <w:r>
        <w:rPr>
          <w:rFonts w:hint="eastAsia" w:ascii="仿宋_GB2312" w:hAnsi="黑体" w:eastAsia="仿宋_GB2312"/>
          <w:color w:val="auto"/>
          <w:sz w:val="32"/>
          <w:lang w:eastAsia="zh-CN"/>
        </w:rPr>
        <w:t>合计得分</w:t>
      </w:r>
      <w:r>
        <w:rPr>
          <w:rFonts w:hint="eastAsia" w:ascii="仿宋_GB2312" w:hAnsi="黑体" w:eastAsia="仿宋_GB2312"/>
          <w:color w:val="auto"/>
          <w:sz w:val="32"/>
        </w:rPr>
        <w:t>在6</w:t>
      </w:r>
      <w:r>
        <w:rPr>
          <w:rFonts w:hint="eastAsia" w:ascii="仿宋_GB2312" w:hAnsi="黑体" w:eastAsia="仿宋_GB2312"/>
          <w:color w:val="auto"/>
          <w:sz w:val="32"/>
          <w:lang w:val="en-US" w:eastAsia="zh-CN"/>
        </w:rPr>
        <w:t>1</w:t>
      </w:r>
      <w:r>
        <w:rPr>
          <w:rFonts w:hint="eastAsia" w:ascii="仿宋_GB2312" w:hAnsi="黑体" w:eastAsia="仿宋_GB2312"/>
          <w:color w:val="auto"/>
          <w:sz w:val="32"/>
        </w:rPr>
        <w:t>分-</w:t>
      </w:r>
      <w:r>
        <w:rPr>
          <w:rFonts w:hint="eastAsia" w:ascii="仿宋_GB2312" w:hAnsi="黑体" w:eastAsia="仿宋_GB2312"/>
          <w:color w:val="auto"/>
          <w:sz w:val="32"/>
          <w:lang w:val="en-US" w:eastAsia="zh-CN"/>
        </w:rPr>
        <w:t>70</w:t>
      </w:r>
      <w:r>
        <w:rPr>
          <w:rFonts w:hint="eastAsia" w:ascii="仿宋_GB2312" w:hAnsi="黑体" w:eastAsia="仿宋_GB2312"/>
          <w:color w:val="auto"/>
          <w:sz w:val="32"/>
        </w:rPr>
        <w:t>分的，信用等级为C级；</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（五）</w:t>
      </w:r>
      <w:r>
        <w:rPr>
          <w:rFonts w:hint="eastAsia" w:ascii="仿宋_GB2312" w:hAnsi="黑体" w:eastAsia="仿宋_GB2312"/>
          <w:color w:val="auto"/>
          <w:sz w:val="32"/>
          <w:lang w:eastAsia="zh-CN"/>
        </w:rPr>
        <w:t>合计得分</w:t>
      </w:r>
      <w:r>
        <w:rPr>
          <w:rFonts w:hint="eastAsia" w:ascii="仿宋_GB2312" w:hAnsi="黑体" w:eastAsia="仿宋_GB2312"/>
          <w:color w:val="auto"/>
          <w:sz w:val="32"/>
        </w:rPr>
        <w:t>不</w:t>
      </w:r>
      <w:r>
        <w:rPr>
          <w:rFonts w:hint="eastAsia" w:ascii="仿宋_GB2312" w:hAnsi="黑体" w:eastAsia="仿宋_GB2312"/>
          <w:color w:val="auto"/>
          <w:sz w:val="32"/>
          <w:lang w:eastAsia="zh-CN"/>
        </w:rPr>
        <w:t>超过</w:t>
      </w:r>
      <w:r>
        <w:rPr>
          <w:rFonts w:hint="eastAsia" w:ascii="仿宋_GB2312" w:hAnsi="黑体" w:eastAsia="仿宋_GB2312"/>
          <w:color w:val="auto"/>
          <w:sz w:val="32"/>
        </w:rPr>
        <w:t>60分的，信用等级为D级。</w:t>
      </w:r>
    </w:p>
    <w:p>
      <w:pPr>
        <w:shd w:val="clear"/>
        <w:spacing w:line="579" w:lineRule="exact"/>
        <w:ind w:firstLine="642" w:firstLineChars="200"/>
        <w:rPr>
          <w:rFonts w:hint="eastAsia" w:ascii="仿宋_GB2312" w:hAnsi="黑体" w:eastAsia="仿宋_GB2312"/>
          <w:color w:val="auto"/>
          <w:sz w:val="32"/>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二</w:t>
      </w:r>
      <w:r>
        <w:rPr>
          <w:rFonts w:hint="eastAsia" w:ascii="仿宋_GB2312" w:hAnsi="黑体" w:eastAsia="仿宋_GB2312"/>
          <w:b/>
          <w:color w:val="auto"/>
          <w:sz w:val="32"/>
        </w:rPr>
        <w:t>条</w:t>
      </w:r>
      <w:r>
        <w:rPr>
          <w:rFonts w:hint="eastAsia" w:ascii="黑体" w:hAnsi="黑体" w:eastAsia="黑体"/>
          <w:color w:val="auto"/>
          <w:sz w:val="32"/>
        </w:rPr>
        <w:t xml:space="preserve"> </w:t>
      </w:r>
      <w:r>
        <w:rPr>
          <w:rFonts w:hint="eastAsia" w:ascii="仿宋_GB2312" w:hAnsi="黑体" w:eastAsia="仿宋_GB2312"/>
          <w:color w:val="auto"/>
          <w:sz w:val="32"/>
          <w:lang w:eastAsia="zh-CN"/>
        </w:rPr>
        <w:t>年度</w:t>
      </w:r>
      <w:r>
        <w:rPr>
          <w:rFonts w:hint="eastAsia" w:ascii="仿宋_GB2312" w:hAnsi="黑体" w:eastAsia="仿宋_GB2312"/>
          <w:color w:val="auto"/>
          <w:sz w:val="32"/>
        </w:rPr>
        <w:t>信用</w:t>
      </w:r>
      <w:r>
        <w:rPr>
          <w:rFonts w:hint="eastAsia" w:ascii="仿宋_GB2312" w:hAnsi="黑体" w:eastAsia="仿宋_GB2312"/>
          <w:color w:val="auto"/>
          <w:sz w:val="32"/>
          <w:lang w:eastAsia="zh-CN"/>
        </w:rPr>
        <w:t>评价工作</w:t>
      </w:r>
      <w:r>
        <w:rPr>
          <w:rFonts w:hint="eastAsia" w:ascii="仿宋_GB2312" w:hAnsi="黑体" w:eastAsia="仿宋_GB2312"/>
          <w:color w:val="auto"/>
          <w:sz w:val="32"/>
        </w:rPr>
        <w:t>由天津</w:t>
      </w:r>
      <w:r>
        <w:rPr>
          <w:rFonts w:hint="eastAsia" w:ascii="仿宋_GB2312" w:hAnsi="黑体" w:eastAsia="仿宋_GB2312"/>
          <w:color w:val="auto"/>
          <w:sz w:val="32"/>
          <w:lang w:eastAsia="zh-CN"/>
        </w:rPr>
        <w:t>市港航管理局</w:t>
      </w:r>
      <w:r>
        <w:rPr>
          <w:rFonts w:hint="eastAsia" w:ascii="仿宋_GB2312" w:hAnsi="黑体" w:eastAsia="仿宋_GB2312"/>
          <w:color w:val="auto"/>
          <w:sz w:val="32"/>
        </w:rPr>
        <w:t>组织</w:t>
      </w:r>
      <w:r>
        <w:rPr>
          <w:rFonts w:hint="eastAsia" w:ascii="仿宋_GB2312" w:hAnsi="黑体" w:eastAsia="仿宋_GB2312"/>
          <w:color w:val="auto"/>
          <w:sz w:val="32"/>
          <w:lang w:eastAsia="zh-CN"/>
        </w:rPr>
        <w:t>开展</w:t>
      </w:r>
      <w:r>
        <w:rPr>
          <w:rFonts w:hint="eastAsia" w:ascii="仿宋_GB2312" w:hAnsi="黑体" w:eastAsia="仿宋_GB2312"/>
          <w:color w:val="auto"/>
          <w:sz w:val="32"/>
        </w:rPr>
        <w:t>。</w:t>
      </w:r>
    </w:p>
    <w:p>
      <w:pPr>
        <w:shd w:val="clear"/>
        <w:spacing w:line="579" w:lineRule="exact"/>
        <w:ind w:firstLine="640" w:firstLineChars="200"/>
        <w:rPr>
          <w:rFonts w:hint="default" w:ascii="仿宋_GB2312" w:hAnsi="黑体" w:eastAsia="仿宋_GB2312"/>
          <w:color w:val="auto"/>
          <w:sz w:val="32"/>
          <w:lang w:val="en-US" w:eastAsia="zh-CN"/>
        </w:rPr>
      </w:pPr>
      <w:r>
        <w:rPr>
          <w:rFonts w:hint="eastAsia" w:ascii="仿宋_GB2312" w:hAnsi="黑体" w:eastAsia="仿宋_GB2312"/>
          <w:color w:val="auto"/>
          <w:sz w:val="32"/>
          <w:lang w:val="en-US" w:eastAsia="zh-CN"/>
        </w:rPr>
        <w:t>从业单位应当按照信用评价工作部署按时向相关水路运输管理部门申报上一年度获得的加分项目信息并提交有关佐证材料。未在申报期限内申报的，视为无加分项目信息。</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区级水路运输管理部门应当按照期限要求，对所辖从业单位申报的</w:t>
      </w:r>
      <w:r>
        <w:rPr>
          <w:rFonts w:hint="eastAsia" w:hAnsi="黑体"/>
          <w:color w:val="auto"/>
          <w:sz w:val="32"/>
          <w:lang w:eastAsia="zh-CN"/>
        </w:rPr>
        <w:t>上一年度</w:t>
      </w:r>
      <w:r>
        <w:rPr>
          <w:rFonts w:hint="eastAsia" w:ascii="仿宋_GB2312" w:hAnsi="黑体" w:eastAsia="仿宋_GB2312"/>
          <w:color w:val="auto"/>
          <w:sz w:val="32"/>
          <w:lang w:eastAsia="zh-CN"/>
        </w:rPr>
        <w:t>加分项目信息</w:t>
      </w:r>
      <w:r>
        <w:rPr>
          <w:rFonts w:hint="eastAsia" w:hAnsi="黑体"/>
          <w:color w:val="auto"/>
          <w:sz w:val="32"/>
          <w:lang w:eastAsia="zh-CN"/>
        </w:rPr>
        <w:t>及所辖从业单位上一年度发生的减分项目信息</w:t>
      </w:r>
      <w:r>
        <w:rPr>
          <w:rFonts w:hint="eastAsia" w:ascii="仿宋_GB2312" w:hAnsi="黑体" w:eastAsia="仿宋_GB2312"/>
          <w:color w:val="auto"/>
          <w:sz w:val="32"/>
          <w:lang w:eastAsia="zh-CN"/>
        </w:rPr>
        <w:t>进行认定。</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区级水路运输管理部门汇总辖区全部从业单位上一年度加分项目信息及区级部门认定的减分项目信息后，上报至天津市港航管理局。</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天津市港航管理局承担市级监管范围的从业单位加分项目信息及减分项目信息认定工作。</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天津市港航管理局汇总市级、区级认定的全部加分项目信息、减分项目信息后，评定全市水路运输从业单位信用等级。</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同一从业单位从事不同业务，或同时受到天津市港航管理局、区级水路运输管理部门监管的，相关信息由相关管理部门依职责分别进行认定，信息的真实性、合法性由认定部门负责，相应分值由天津市港航管理局进行汇总，只产生一个评价结果。</w:t>
      </w:r>
    </w:p>
    <w:p>
      <w:pPr>
        <w:shd w:val="clear"/>
        <w:spacing w:line="579" w:lineRule="exact"/>
        <w:ind w:firstLine="642" w:firstLineChars="200"/>
        <w:rPr>
          <w:rFonts w:hint="eastAsia" w:ascii="仿宋_GB2312" w:hAnsi="黑体" w:eastAsia="仿宋_GB2312"/>
          <w:color w:val="auto"/>
          <w:sz w:val="32"/>
          <w:lang w:val="en-US" w:eastAsia="zh-CN"/>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三</w:t>
      </w:r>
      <w:r>
        <w:rPr>
          <w:rFonts w:hint="eastAsia" w:ascii="仿宋_GB2312" w:hAnsi="黑体" w:eastAsia="仿宋_GB2312"/>
          <w:b/>
          <w:color w:val="auto"/>
          <w:sz w:val="32"/>
        </w:rPr>
        <w:t>条</w:t>
      </w:r>
      <w:r>
        <w:rPr>
          <w:rFonts w:hint="eastAsia" w:ascii="黑体" w:hAnsi="黑体" w:eastAsia="黑体"/>
          <w:color w:val="auto"/>
          <w:sz w:val="32"/>
        </w:rPr>
        <w:t xml:space="preserve"> </w:t>
      </w:r>
      <w:r>
        <w:rPr>
          <w:rFonts w:hint="eastAsia" w:ascii="仿宋_GB2312" w:hAnsi="黑体" w:eastAsia="仿宋_GB2312"/>
          <w:color w:val="auto"/>
          <w:sz w:val="32"/>
          <w:lang w:eastAsia="zh-CN"/>
        </w:rPr>
        <w:t>天津市港航管理局评定全市水路运输</w:t>
      </w:r>
      <w:r>
        <w:rPr>
          <w:rFonts w:hint="eastAsia" w:hAnsi="黑体"/>
          <w:color w:val="auto"/>
          <w:sz w:val="32"/>
          <w:lang w:eastAsia="zh-CN"/>
        </w:rPr>
        <w:t>市场</w:t>
      </w:r>
      <w:r>
        <w:rPr>
          <w:rFonts w:hint="eastAsia" w:ascii="仿宋_GB2312" w:hAnsi="黑体" w:eastAsia="仿宋_GB2312"/>
          <w:color w:val="auto"/>
          <w:sz w:val="32"/>
          <w:lang w:eastAsia="zh-CN"/>
        </w:rPr>
        <w:t>从业单位信用等级后，通过天津市交通运输委员会、天津信用交通网站及微信公众号等途径进行公示。公示期为</w:t>
      </w:r>
      <w:r>
        <w:rPr>
          <w:rFonts w:hint="eastAsia" w:ascii="仿宋_GB2312" w:hAnsi="黑体" w:eastAsia="仿宋_GB2312"/>
          <w:color w:val="auto"/>
          <w:sz w:val="32"/>
          <w:lang w:val="en-US" w:eastAsia="zh-CN"/>
        </w:rPr>
        <w:t>7个工作日。</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lang w:eastAsia="zh-CN"/>
        </w:rPr>
        <w:t>在公示期内，</w:t>
      </w:r>
      <w:r>
        <w:rPr>
          <w:rFonts w:hint="eastAsia" w:ascii="仿宋_GB2312" w:hAnsi="黑体" w:eastAsia="仿宋_GB2312"/>
          <w:color w:val="auto"/>
          <w:sz w:val="32"/>
        </w:rPr>
        <w:t>从业单位</w:t>
      </w:r>
      <w:r>
        <w:rPr>
          <w:rFonts w:hint="eastAsia" w:ascii="仿宋_GB2312" w:hAnsi="黑体" w:eastAsia="仿宋_GB2312"/>
          <w:color w:val="auto"/>
          <w:sz w:val="32"/>
          <w:lang w:eastAsia="zh-CN"/>
        </w:rPr>
        <w:t>发现</w:t>
      </w:r>
      <w:r>
        <w:rPr>
          <w:rFonts w:hint="eastAsia" w:ascii="仿宋_GB2312" w:hAnsi="黑体" w:eastAsia="仿宋_GB2312"/>
          <w:color w:val="auto"/>
          <w:sz w:val="32"/>
        </w:rPr>
        <w:t>被</w:t>
      </w:r>
      <w:r>
        <w:rPr>
          <w:rFonts w:hint="eastAsia" w:ascii="仿宋_GB2312" w:hAnsi="黑体" w:eastAsia="仿宋_GB2312"/>
          <w:color w:val="auto"/>
          <w:sz w:val="32"/>
          <w:lang w:eastAsia="zh-CN"/>
        </w:rPr>
        <w:t>认定</w:t>
      </w:r>
      <w:r>
        <w:rPr>
          <w:rFonts w:hint="eastAsia" w:ascii="仿宋_GB2312" w:hAnsi="黑体" w:eastAsia="仿宋_GB2312"/>
          <w:color w:val="auto"/>
          <w:sz w:val="32"/>
        </w:rPr>
        <w:t>的</w:t>
      </w:r>
      <w:r>
        <w:rPr>
          <w:rFonts w:hint="eastAsia" w:ascii="仿宋_GB2312" w:hAnsi="黑体" w:eastAsia="仿宋_GB2312"/>
          <w:color w:val="auto"/>
          <w:sz w:val="32"/>
          <w:lang w:eastAsia="zh-CN"/>
        </w:rPr>
        <w:t>加减分项目信息或评价结果</w:t>
      </w:r>
      <w:r>
        <w:rPr>
          <w:rFonts w:hint="eastAsia" w:ascii="仿宋_GB2312" w:hAnsi="黑体" w:eastAsia="仿宋_GB2312"/>
          <w:color w:val="auto"/>
          <w:sz w:val="32"/>
        </w:rPr>
        <w:t>存在以下情形的，可以</w:t>
      </w:r>
      <w:r>
        <w:rPr>
          <w:rFonts w:hint="eastAsia" w:ascii="仿宋_GB2312" w:hAnsi="黑体" w:eastAsia="仿宋_GB2312"/>
          <w:color w:val="auto"/>
          <w:sz w:val="32"/>
          <w:lang w:eastAsia="zh-CN"/>
        </w:rPr>
        <w:t>按照“谁认定、谁核查”的原则，</w:t>
      </w:r>
      <w:r>
        <w:rPr>
          <w:rFonts w:hint="eastAsia" w:ascii="仿宋_GB2312" w:hAnsi="黑体" w:eastAsia="仿宋_GB2312"/>
          <w:color w:val="auto"/>
          <w:sz w:val="32"/>
        </w:rPr>
        <w:t>向</w:t>
      </w:r>
      <w:r>
        <w:rPr>
          <w:rFonts w:hint="eastAsia" w:ascii="仿宋_GB2312" w:hAnsi="黑体" w:eastAsia="仿宋_GB2312"/>
          <w:color w:val="auto"/>
          <w:sz w:val="32"/>
          <w:lang w:eastAsia="zh-CN"/>
        </w:rPr>
        <w:t>做出该认定的</w:t>
      </w:r>
      <w:r>
        <w:rPr>
          <w:rFonts w:hint="eastAsia" w:ascii="仿宋_GB2312" w:hAnsi="黑体" w:eastAsia="仿宋_GB2312"/>
          <w:color w:val="auto"/>
          <w:sz w:val="32"/>
        </w:rPr>
        <w:t>管理部门提出异议申请，并提供符合相关规定的证据材料：</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w:t>
      </w:r>
      <w:r>
        <w:rPr>
          <w:rFonts w:hint="eastAsia" w:ascii="仿宋_GB2312" w:hAnsi="黑体" w:eastAsia="仿宋_GB2312"/>
          <w:color w:val="auto"/>
          <w:sz w:val="32"/>
          <w:lang w:eastAsia="zh-CN"/>
        </w:rPr>
        <w:t>信用</w:t>
      </w:r>
      <w:r>
        <w:rPr>
          <w:rFonts w:hint="eastAsia" w:ascii="仿宋_GB2312" w:hAnsi="黑体" w:eastAsia="仿宋_GB2312"/>
          <w:color w:val="auto"/>
          <w:sz w:val="32"/>
        </w:rPr>
        <w:t>信息存在错误或遗漏的；</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（二）侵犯其商业秘密、个人隐私的；</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rPr>
        <w:t>（三）</w:t>
      </w:r>
      <w:r>
        <w:rPr>
          <w:rFonts w:hint="eastAsia" w:ascii="仿宋_GB2312" w:hAnsi="黑体" w:eastAsia="仿宋_GB2312"/>
          <w:color w:val="auto"/>
          <w:sz w:val="32"/>
          <w:lang w:eastAsia="zh-CN"/>
        </w:rPr>
        <w:t>同一次行为被认定两次以上的；</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（四）信用信息认定超过生效期限的；</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lang w:eastAsia="zh-CN"/>
        </w:rPr>
        <w:t>（五）分值计算及评价结果认定有误的</w:t>
      </w:r>
      <w:r>
        <w:rPr>
          <w:rFonts w:hint="eastAsia" w:ascii="仿宋_GB2312" w:hAnsi="黑体" w:eastAsia="仿宋_GB2312"/>
          <w:color w:val="auto"/>
          <w:sz w:val="32"/>
        </w:rPr>
        <w:t>。</w:t>
      </w:r>
    </w:p>
    <w:p>
      <w:pPr>
        <w:shd w:val="clear"/>
        <w:spacing w:line="579" w:lineRule="exact"/>
        <w:ind w:firstLine="642" w:firstLineChars="200"/>
        <w:rPr>
          <w:rFonts w:hint="eastAsia" w:ascii="仿宋_GB2312" w:hAnsi="黑体" w:eastAsia="仿宋_GB2312"/>
          <w:color w:val="auto"/>
          <w:sz w:val="32"/>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四</w:t>
      </w:r>
      <w:r>
        <w:rPr>
          <w:rFonts w:hint="eastAsia" w:ascii="仿宋_GB2312" w:hAnsi="黑体" w:eastAsia="仿宋_GB2312"/>
          <w:b/>
          <w:color w:val="auto"/>
          <w:sz w:val="32"/>
        </w:rPr>
        <w:t>条</w:t>
      </w:r>
      <w:r>
        <w:rPr>
          <w:rFonts w:hint="eastAsia" w:ascii="仿宋_GB2312" w:hAnsi="黑体" w:eastAsia="仿宋_GB2312"/>
          <w:color w:val="auto"/>
          <w:sz w:val="32"/>
        </w:rPr>
        <w:t xml:space="preserve"> 相</w:t>
      </w:r>
      <w:r>
        <w:rPr>
          <w:rFonts w:hint="eastAsia" w:ascii="仿宋_GB2312" w:hAnsi="黑体" w:eastAsia="仿宋_GB2312"/>
          <w:color w:val="auto"/>
          <w:sz w:val="32"/>
          <w:lang w:eastAsia="zh-CN"/>
        </w:rPr>
        <w:t>关</w:t>
      </w:r>
      <w:r>
        <w:rPr>
          <w:rFonts w:hint="eastAsia" w:ascii="仿宋_GB2312" w:hAnsi="黑体" w:eastAsia="仿宋_GB2312"/>
          <w:color w:val="auto"/>
          <w:sz w:val="32"/>
        </w:rPr>
        <w:t>管理部门应在收到书面异议</w:t>
      </w:r>
      <w:r>
        <w:rPr>
          <w:rFonts w:hint="eastAsia" w:ascii="仿宋_GB2312" w:hAnsi="黑体" w:eastAsia="仿宋_GB2312"/>
          <w:color w:val="auto"/>
          <w:sz w:val="32"/>
          <w:lang w:eastAsia="zh-CN"/>
        </w:rPr>
        <w:t>申请</w:t>
      </w:r>
      <w:r>
        <w:rPr>
          <w:rFonts w:hint="eastAsia" w:ascii="仿宋_GB2312" w:hAnsi="黑体" w:eastAsia="仿宋_GB2312"/>
          <w:color w:val="auto"/>
          <w:sz w:val="32"/>
        </w:rPr>
        <w:t>之日起</w:t>
      </w:r>
      <w:r>
        <w:rPr>
          <w:rFonts w:hint="eastAsia" w:ascii="仿宋_GB2312" w:hAnsi="黑体" w:eastAsia="仿宋_GB2312"/>
          <w:color w:val="auto"/>
          <w:sz w:val="32"/>
          <w:lang w:val="en-US" w:eastAsia="zh-CN"/>
        </w:rPr>
        <w:t>10个工作日内完成核查和处理，将结果告知异议申请人，并将核实后的信息记录同步至相关信息平台。对于不予受理的，应告知申请人不予受理的理由。</w:t>
      </w:r>
    </w:p>
    <w:p>
      <w:pPr>
        <w:shd w:val="clear"/>
        <w:spacing w:line="579" w:lineRule="exact"/>
        <w:ind w:firstLine="642" w:firstLineChars="200"/>
        <w:rPr>
          <w:rFonts w:hint="eastAsia" w:ascii="仿宋_GB2312" w:hAnsi="黑体" w:eastAsia="仿宋_GB2312"/>
          <w:b/>
          <w:color w:val="auto"/>
          <w:sz w:val="32"/>
        </w:rPr>
      </w:pP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第四章</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黑体" w:cs="Times New Roman"/>
          <w:color w:val="auto"/>
          <w:sz w:val="32"/>
          <w:szCs w:val="32"/>
        </w:rPr>
        <w:t>信用</w:t>
      </w:r>
      <w:r>
        <w:rPr>
          <w:rFonts w:hint="eastAsia" w:ascii="Times New Roman" w:hAnsi="Times New Roman" w:eastAsia="黑体" w:cs="Times New Roman"/>
          <w:color w:val="auto"/>
          <w:sz w:val="32"/>
          <w:szCs w:val="32"/>
          <w:lang w:eastAsia="zh-CN"/>
        </w:rPr>
        <w:t>评价应用</w:t>
      </w:r>
    </w:p>
    <w:p>
      <w:pPr>
        <w:shd w:val="clear"/>
        <w:spacing w:line="579" w:lineRule="exact"/>
        <w:ind w:firstLine="642" w:firstLineChars="200"/>
        <w:rPr>
          <w:rFonts w:hint="eastAsia" w:ascii="仿宋_GB2312" w:hAnsi="黑体" w:eastAsia="仿宋_GB2312"/>
          <w:b/>
          <w:color w:val="auto"/>
          <w:sz w:val="32"/>
        </w:rPr>
      </w:pPr>
    </w:p>
    <w:p>
      <w:pPr>
        <w:shd w:val="clear"/>
        <w:spacing w:line="579" w:lineRule="exact"/>
        <w:ind w:firstLine="642" w:firstLineChars="200"/>
        <w:rPr>
          <w:rFonts w:hint="eastAsia" w:ascii="仿宋_GB2312" w:hAnsi="黑体" w:eastAsia="仿宋_GB2312"/>
          <w:color w:val="auto"/>
          <w:sz w:val="32"/>
          <w:lang w:eastAsia="zh-CN"/>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五</w:t>
      </w:r>
      <w:r>
        <w:rPr>
          <w:rFonts w:hint="eastAsia" w:ascii="仿宋_GB2312" w:hAnsi="黑体" w:eastAsia="仿宋_GB2312"/>
          <w:b/>
          <w:color w:val="auto"/>
          <w:sz w:val="32"/>
        </w:rPr>
        <w:t>条</w:t>
      </w:r>
      <w:r>
        <w:rPr>
          <w:rFonts w:hint="eastAsia" w:ascii="仿宋_GB2312" w:hAnsi="黑体" w:eastAsia="仿宋_GB2312"/>
          <w:color w:val="auto"/>
          <w:sz w:val="32"/>
        </w:rPr>
        <w:t xml:space="preserve"> 天津</w:t>
      </w:r>
      <w:r>
        <w:rPr>
          <w:rFonts w:hint="eastAsia" w:ascii="仿宋_GB2312" w:hAnsi="黑体" w:eastAsia="仿宋_GB2312"/>
          <w:color w:val="auto"/>
          <w:sz w:val="32"/>
          <w:lang w:eastAsia="zh-CN"/>
        </w:rPr>
        <w:t>市港航管理局、</w:t>
      </w:r>
      <w:r>
        <w:rPr>
          <w:rFonts w:hint="eastAsia" w:ascii="仿宋_GB2312" w:hAnsi="黑体" w:eastAsia="仿宋_GB2312"/>
          <w:color w:val="auto"/>
          <w:sz w:val="32"/>
        </w:rPr>
        <w:t>区级水路运输管理部门应加强水路运输市场信用评价</w:t>
      </w:r>
      <w:r>
        <w:rPr>
          <w:rFonts w:hint="eastAsia" w:hAnsi="黑体"/>
          <w:color w:val="auto"/>
          <w:sz w:val="32"/>
          <w:lang w:eastAsia="zh-CN"/>
        </w:rPr>
        <w:t>结果</w:t>
      </w:r>
      <w:r>
        <w:rPr>
          <w:rFonts w:hint="eastAsia" w:ascii="仿宋_GB2312" w:hAnsi="黑体" w:eastAsia="仿宋_GB2312"/>
          <w:color w:val="auto"/>
          <w:sz w:val="32"/>
        </w:rPr>
        <w:t>的应用</w:t>
      </w:r>
      <w:r>
        <w:rPr>
          <w:rFonts w:hint="eastAsia" w:ascii="仿宋_GB2312" w:hAnsi="黑体" w:eastAsia="仿宋_GB2312"/>
          <w:color w:val="auto"/>
          <w:sz w:val="32"/>
          <w:lang w:eastAsia="zh-CN"/>
        </w:rPr>
        <w:t>工作</w:t>
      </w:r>
      <w:r>
        <w:rPr>
          <w:rFonts w:hint="eastAsia" w:ascii="仿宋_GB2312" w:hAnsi="黑体" w:eastAsia="仿宋_GB2312"/>
          <w:color w:val="auto"/>
          <w:sz w:val="32"/>
        </w:rPr>
        <w:t>，结合</w:t>
      </w:r>
      <w:r>
        <w:rPr>
          <w:rFonts w:hint="eastAsia" w:ascii="仿宋_GB2312" w:hAnsi="黑体" w:eastAsia="仿宋_GB2312"/>
          <w:color w:val="auto"/>
          <w:sz w:val="32"/>
          <w:lang w:eastAsia="zh-CN"/>
        </w:rPr>
        <w:t>本行政区域实际</w:t>
      </w:r>
      <w:r>
        <w:rPr>
          <w:rFonts w:hint="eastAsia" w:ascii="仿宋_GB2312" w:hAnsi="黑体" w:eastAsia="仿宋_GB2312"/>
          <w:color w:val="auto"/>
          <w:sz w:val="32"/>
        </w:rPr>
        <w:t>，</w:t>
      </w:r>
      <w:r>
        <w:rPr>
          <w:rFonts w:hint="eastAsia" w:ascii="仿宋_GB2312" w:hAnsi="黑体" w:eastAsia="仿宋_GB2312"/>
          <w:color w:val="auto"/>
          <w:sz w:val="32"/>
          <w:lang w:eastAsia="zh-CN"/>
        </w:rPr>
        <w:t>对本辖区从业单位</w:t>
      </w:r>
      <w:r>
        <w:rPr>
          <w:rFonts w:hint="eastAsia" w:ascii="仿宋_GB2312" w:hAnsi="黑体" w:eastAsia="仿宋_GB2312"/>
          <w:color w:val="auto"/>
          <w:sz w:val="32"/>
        </w:rPr>
        <w:t>实施</w:t>
      </w:r>
      <w:r>
        <w:rPr>
          <w:rFonts w:hint="eastAsia" w:ascii="仿宋_GB2312" w:hAnsi="黑体" w:eastAsia="仿宋_GB2312"/>
          <w:color w:val="auto"/>
          <w:sz w:val="32"/>
          <w:lang w:eastAsia="zh-CN"/>
        </w:rPr>
        <w:t>分级分类监管。符合法律法规明确的应用条件的，可以将信用评价结果用于实施有关守信激励及失信惩戒的参考依据。不得实施没有明确法律法规依据的惩戒措施。</w:t>
      </w:r>
    </w:p>
    <w:p>
      <w:pP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六</w:t>
      </w:r>
      <w:r>
        <w:rPr>
          <w:rFonts w:hint="eastAsia" w:ascii="仿宋_GB2312" w:hAnsi="黑体" w:eastAsia="仿宋_GB2312"/>
          <w:b/>
          <w:color w:val="auto"/>
          <w:sz w:val="32"/>
        </w:rPr>
        <w:t>条</w:t>
      </w:r>
      <w:r>
        <w:rPr>
          <w:rFonts w:hint="eastAsia" w:ascii="仿宋_GB2312" w:hAnsi="黑体" w:eastAsia="仿宋_GB2312"/>
          <w:color w:val="auto"/>
          <w:sz w:val="32"/>
        </w:rPr>
        <w:t xml:space="preserve"> 对信用评价AA级从业单位，可结合本行政区域实际情况，对其实施以下措施：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（一）同等条件下，在财政资金补助等各类政府优惠政策中，依法依规列为优先选择对象；</w:t>
      </w:r>
    </w:p>
    <w:p>
      <w:pPr>
        <w:shd w:val="clear"/>
        <w:spacing w:line="579" w:lineRule="exact"/>
        <w:ind w:firstLine="640" w:firstLineChars="200"/>
        <w:rPr>
          <w:rFonts w:hint="eastAsia" w:ascii="仿宋_GB2312" w:hAnsi="黑体" w:eastAsia="仿宋_GB2312"/>
          <w:color w:val="auto"/>
          <w:sz w:val="32"/>
        </w:rPr>
      </w:pPr>
      <w:r>
        <w:rPr>
          <w:rFonts w:hint="eastAsia" w:ascii="仿宋_GB2312" w:hAnsi="黑体" w:eastAsia="仿宋_GB2312"/>
          <w:color w:val="auto"/>
          <w:sz w:val="32"/>
        </w:rPr>
        <w:t>（二）树立为诚信典型并向社会推介；</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（三）</w:t>
      </w:r>
      <w:r>
        <w:rPr>
          <w:rFonts w:hint="eastAsia" w:ascii="仿宋_GB2312" w:hAnsi="黑体" w:eastAsia="仿宋_GB2312"/>
          <w:color w:val="auto"/>
          <w:sz w:val="32"/>
          <w:lang w:eastAsia="zh-CN"/>
        </w:rPr>
        <w:t>在</w:t>
      </w:r>
      <w:r>
        <w:rPr>
          <w:rFonts w:hint="eastAsia" w:ascii="仿宋_GB2312" w:hAnsi="黑体" w:eastAsia="仿宋_GB2312"/>
          <w:color w:val="auto"/>
          <w:sz w:val="32"/>
        </w:rPr>
        <w:t>日常监管中</w:t>
      </w:r>
      <w:r>
        <w:rPr>
          <w:rFonts w:hint="eastAsia" w:ascii="仿宋_GB2312" w:hAnsi="黑体" w:eastAsia="仿宋_GB2312"/>
          <w:color w:val="auto"/>
          <w:sz w:val="32"/>
          <w:lang w:eastAsia="zh-CN"/>
        </w:rPr>
        <w:t>，合理</w:t>
      </w:r>
      <w:r>
        <w:rPr>
          <w:rFonts w:hint="eastAsia" w:ascii="仿宋_GB2312" w:hAnsi="黑体" w:eastAsia="仿宋_GB2312"/>
          <w:color w:val="auto"/>
          <w:sz w:val="32"/>
        </w:rPr>
        <w:t>减少现场检查频次；</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（四）在</w:t>
      </w:r>
      <w:r>
        <w:rPr>
          <w:rFonts w:hint="eastAsia" w:ascii="仿宋_GB2312" w:hAnsi="黑体" w:eastAsia="仿宋_GB2312"/>
          <w:color w:val="auto"/>
          <w:sz w:val="32"/>
          <w:lang w:eastAsia="zh-CN"/>
        </w:rPr>
        <w:t>办理</w:t>
      </w:r>
      <w:r>
        <w:rPr>
          <w:rFonts w:hint="eastAsia" w:ascii="仿宋_GB2312" w:hAnsi="黑体" w:eastAsia="仿宋_GB2312"/>
          <w:color w:val="auto"/>
          <w:sz w:val="32"/>
        </w:rPr>
        <w:t>水路运输及辅助业务许可、备案等事项</w:t>
      </w:r>
      <w:r>
        <w:rPr>
          <w:rFonts w:hint="eastAsia" w:ascii="仿宋_GB2312" w:hAnsi="黑体" w:eastAsia="仿宋_GB2312"/>
          <w:color w:val="auto"/>
          <w:sz w:val="32"/>
          <w:lang w:eastAsia="zh-CN"/>
        </w:rPr>
        <w:t>，以及</w:t>
      </w:r>
      <w:r>
        <w:rPr>
          <w:rFonts w:hint="eastAsia" w:ascii="仿宋_GB2312" w:hAnsi="黑体" w:eastAsia="仿宋_GB2312"/>
          <w:color w:val="auto"/>
          <w:sz w:val="32"/>
        </w:rPr>
        <w:t>船舶营业运输证配发</w:t>
      </w:r>
      <w:r>
        <w:rPr>
          <w:rFonts w:hint="eastAsia" w:ascii="仿宋_GB2312" w:hAnsi="黑体" w:eastAsia="仿宋_GB2312"/>
          <w:color w:val="auto"/>
          <w:sz w:val="32"/>
          <w:lang w:eastAsia="zh-CN"/>
        </w:rPr>
        <w:t>等政务服务时，根据实际情况给予优先办理、简化程序等便利服务措施</w:t>
      </w:r>
      <w:r>
        <w:rPr>
          <w:rFonts w:hint="eastAsia" w:ascii="仿宋_GB2312" w:hAnsi="黑体" w:eastAsia="仿宋_GB2312"/>
          <w:color w:val="auto"/>
          <w:sz w:val="32"/>
        </w:rPr>
        <w:t>。</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对信用评价A级从业单位，可结合本行政区域实际情况，对其实施以下守信激励措施：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w:t>
      </w:r>
      <w:r>
        <w:rPr>
          <w:rFonts w:hint="eastAsia" w:ascii="仿宋_GB2312" w:hAnsi="黑体" w:eastAsia="仿宋_GB2312"/>
          <w:color w:val="auto"/>
          <w:sz w:val="32"/>
          <w:lang w:eastAsia="zh-CN"/>
        </w:rPr>
        <w:t>在</w:t>
      </w:r>
      <w:r>
        <w:rPr>
          <w:rFonts w:hint="eastAsia" w:ascii="仿宋_GB2312" w:hAnsi="黑体" w:eastAsia="仿宋_GB2312"/>
          <w:color w:val="auto"/>
          <w:sz w:val="32"/>
        </w:rPr>
        <w:t>日常监管中</w:t>
      </w:r>
      <w:r>
        <w:rPr>
          <w:rFonts w:hint="eastAsia" w:ascii="仿宋_GB2312" w:hAnsi="黑体" w:eastAsia="仿宋_GB2312"/>
          <w:color w:val="auto"/>
          <w:sz w:val="32"/>
          <w:lang w:eastAsia="zh-CN"/>
        </w:rPr>
        <w:t>，合理</w:t>
      </w:r>
      <w:r>
        <w:rPr>
          <w:rFonts w:hint="eastAsia" w:ascii="仿宋_GB2312" w:hAnsi="黑体" w:eastAsia="仿宋_GB2312"/>
          <w:color w:val="auto"/>
          <w:sz w:val="32"/>
        </w:rPr>
        <w:t>减少现场检查频次；</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（二）在</w:t>
      </w:r>
      <w:r>
        <w:rPr>
          <w:rFonts w:hint="eastAsia" w:ascii="仿宋_GB2312" w:hAnsi="黑体" w:eastAsia="仿宋_GB2312"/>
          <w:color w:val="auto"/>
          <w:sz w:val="32"/>
          <w:lang w:eastAsia="zh-CN"/>
        </w:rPr>
        <w:t>办理</w:t>
      </w:r>
      <w:r>
        <w:rPr>
          <w:rFonts w:hint="eastAsia" w:ascii="仿宋_GB2312" w:hAnsi="黑体" w:eastAsia="仿宋_GB2312"/>
          <w:color w:val="auto"/>
          <w:sz w:val="32"/>
        </w:rPr>
        <w:t>水路运输及辅助业务许可、备案等事项</w:t>
      </w:r>
      <w:r>
        <w:rPr>
          <w:rFonts w:hint="eastAsia" w:ascii="仿宋_GB2312" w:hAnsi="黑体" w:eastAsia="仿宋_GB2312"/>
          <w:color w:val="auto"/>
          <w:sz w:val="32"/>
          <w:lang w:eastAsia="zh-CN"/>
        </w:rPr>
        <w:t>，以及</w:t>
      </w:r>
      <w:r>
        <w:rPr>
          <w:rFonts w:hint="eastAsia" w:ascii="仿宋_GB2312" w:hAnsi="黑体" w:eastAsia="仿宋_GB2312"/>
          <w:color w:val="auto"/>
          <w:sz w:val="32"/>
        </w:rPr>
        <w:t>船舶营业运输证配发</w:t>
      </w:r>
      <w:r>
        <w:rPr>
          <w:rFonts w:hint="eastAsia" w:ascii="仿宋_GB2312" w:hAnsi="黑体" w:eastAsia="仿宋_GB2312"/>
          <w:color w:val="auto"/>
          <w:sz w:val="32"/>
          <w:lang w:eastAsia="zh-CN"/>
        </w:rPr>
        <w:t>等政务服务时，根据实际情况给予优先办理、简化程序等便利服务措施</w:t>
      </w:r>
      <w:r>
        <w:rPr>
          <w:rFonts w:hint="eastAsia" w:ascii="仿宋_GB2312" w:hAnsi="黑体" w:eastAsia="仿宋_GB2312"/>
          <w:color w:val="auto"/>
          <w:sz w:val="32"/>
        </w:rPr>
        <w:t>。</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对信用评价B级从业单位，</w:t>
      </w:r>
      <w:r>
        <w:rPr>
          <w:rFonts w:hint="eastAsia" w:ascii="仿宋_GB2312" w:hAnsi="黑体" w:eastAsia="仿宋_GB2312"/>
          <w:color w:val="auto"/>
          <w:sz w:val="32"/>
          <w:lang w:eastAsia="zh-CN"/>
        </w:rPr>
        <w:t>可</w:t>
      </w:r>
      <w:r>
        <w:rPr>
          <w:rFonts w:hint="eastAsia" w:ascii="仿宋_GB2312" w:hAnsi="黑体" w:eastAsia="仿宋_GB2312"/>
          <w:color w:val="auto"/>
          <w:sz w:val="32"/>
        </w:rPr>
        <w:t>不实施</w:t>
      </w:r>
      <w:r>
        <w:rPr>
          <w:rFonts w:hint="eastAsia" w:ascii="仿宋_GB2312" w:hAnsi="黑体" w:eastAsia="仿宋_GB2312"/>
          <w:color w:val="auto"/>
          <w:sz w:val="32"/>
          <w:lang w:eastAsia="zh-CN"/>
        </w:rPr>
        <w:t>激励或惩戒</w:t>
      </w:r>
      <w:r>
        <w:rPr>
          <w:rFonts w:hint="eastAsia" w:ascii="仿宋_GB2312" w:hAnsi="黑体" w:eastAsia="仿宋_GB2312"/>
          <w:color w:val="auto"/>
          <w:sz w:val="32"/>
        </w:rPr>
        <w:t>措施。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对信用评价C级从业单位，可结合本行政区域实际情况，对其实施以下措施：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（一）在日常监管中列为重点监管对象，</w:t>
      </w:r>
      <w:r>
        <w:rPr>
          <w:rFonts w:hint="eastAsia" w:ascii="仿宋_GB2312" w:hAnsi="黑体" w:eastAsia="仿宋_GB2312"/>
          <w:color w:val="auto"/>
          <w:sz w:val="32"/>
          <w:lang w:eastAsia="zh-CN"/>
        </w:rPr>
        <w:t>在本单位“双随机、一公开”检查基础上，每年额外增加一次以上的现场检查</w:t>
      </w:r>
      <w:r>
        <w:rPr>
          <w:rFonts w:hint="eastAsia" w:ascii="仿宋_GB2312" w:hAnsi="黑体" w:eastAsia="仿宋_GB2312"/>
          <w:color w:val="auto"/>
          <w:sz w:val="32"/>
        </w:rPr>
        <w:t>；</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（二）依法依规限制享受财政资金补助等各类政府优惠政策；</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（三）限制参评各级交通运输管理部门依法组织的表彰奖励活动。</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对信用评价D级从业单位，应结合本行政区域实际情况，对其实施以下惩戒措施：</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（一）在日常监管中列为重点监管对象，</w:t>
      </w:r>
      <w:r>
        <w:rPr>
          <w:rFonts w:hint="eastAsia" w:ascii="仿宋_GB2312" w:hAnsi="黑体" w:eastAsia="仿宋_GB2312"/>
          <w:color w:val="auto"/>
          <w:sz w:val="32"/>
          <w:lang w:eastAsia="zh-CN"/>
        </w:rPr>
        <w:t>在本单位“双随机、一公开”检查基础上，每年额外增加两次以上的现场检查</w:t>
      </w:r>
      <w:r>
        <w:rPr>
          <w:rFonts w:hint="eastAsia" w:ascii="仿宋_GB2312" w:hAnsi="黑体" w:eastAsia="仿宋_GB2312"/>
          <w:color w:val="auto"/>
          <w:sz w:val="32"/>
        </w:rPr>
        <w:t>；</w:t>
      </w:r>
    </w:p>
    <w:p>
      <w:pPr>
        <w:shd w:val="clea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（二）对</w:t>
      </w:r>
      <w:r>
        <w:rPr>
          <w:rFonts w:hint="eastAsia" w:ascii="仿宋_GB2312" w:hAnsi="黑体" w:eastAsia="仿宋_GB2312"/>
          <w:color w:val="auto"/>
          <w:sz w:val="32"/>
        </w:rPr>
        <w:t>信用评价D级</w:t>
      </w:r>
      <w:r>
        <w:rPr>
          <w:rFonts w:hint="eastAsia" w:ascii="仿宋_GB2312" w:hAnsi="黑体" w:eastAsia="仿宋_GB2312"/>
          <w:strike w:val="0"/>
          <w:dstrike w:val="0"/>
          <w:color w:val="auto"/>
          <w:sz w:val="32"/>
          <w:lang w:eastAsia="zh-CN"/>
        </w:rPr>
        <w:t>从业</w:t>
      </w:r>
      <w:r>
        <w:rPr>
          <w:rFonts w:hint="eastAsia" w:ascii="仿宋_GB2312" w:hAnsi="黑体" w:eastAsia="仿宋_GB2312"/>
          <w:strike w:val="0"/>
          <w:color w:val="auto"/>
          <w:sz w:val="32"/>
          <w:lang w:eastAsia="zh-CN"/>
        </w:rPr>
        <w:t>单位</w:t>
      </w:r>
      <w:r>
        <w:rPr>
          <w:rFonts w:hint="eastAsia" w:ascii="仿宋_GB2312" w:hAnsi="黑体" w:eastAsia="仿宋_GB2312"/>
          <w:color w:val="auto"/>
          <w:sz w:val="32"/>
          <w:lang w:eastAsia="zh-CN"/>
        </w:rPr>
        <w:t>进行约谈，如有无故不参加约谈或约谈事项不落实的，约谈情况应当认定为本年度减分项目；</w:t>
      </w:r>
    </w:p>
    <w:p>
      <w:pP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（三）</w:t>
      </w:r>
      <w:r>
        <w:rPr>
          <w:rFonts w:hint="eastAsia" w:ascii="仿宋_GB2312" w:hAnsi="黑体" w:eastAsia="仿宋_GB2312"/>
          <w:color w:val="auto"/>
          <w:sz w:val="32"/>
        </w:rPr>
        <w:t>在办理行政许可过程中，根据实际情况减少对其采取承诺制审批等便利化措施的范围</w:t>
      </w:r>
      <w:r>
        <w:rPr>
          <w:rFonts w:hint="eastAsia" w:ascii="仿宋_GB2312" w:hAnsi="黑体" w:eastAsia="仿宋_GB2312"/>
          <w:color w:val="auto"/>
          <w:sz w:val="32"/>
          <w:lang w:eastAsia="zh-CN"/>
        </w:rPr>
        <w:t>；</w:t>
      </w:r>
    </w:p>
    <w:p>
      <w:pP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w:t>
      </w:r>
      <w:r>
        <w:rPr>
          <w:rFonts w:hint="eastAsia" w:ascii="仿宋_GB2312" w:hAnsi="黑体" w:eastAsia="仿宋_GB2312"/>
          <w:color w:val="auto"/>
          <w:sz w:val="32"/>
          <w:lang w:eastAsia="zh-CN"/>
        </w:rPr>
        <w:t>四</w:t>
      </w:r>
      <w:r>
        <w:rPr>
          <w:rFonts w:hint="eastAsia" w:ascii="仿宋_GB2312" w:hAnsi="黑体" w:eastAsia="仿宋_GB2312"/>
          <w:color w:val="auto"/>
          <w:sz w:val="32"/>
        </w:rPr>
        <w:t>）依法依规限制享受财政资金补助等各类政府优惠政策；</w:t>
      </w:r>
    </w:p>
    <w:p>
      <w:pP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rPr>
        <w:t>（</w:t>
      </w:r>
      <w:r>
        <w:rPr>
          <w:rFonts w:hint="eastAsia" w:ascii="仿宋_GB2312" w:hAnsi="黑体" w:eastAsia="仿宋_GB2312"/>
          <w:color w:val="auto"/>
          <w:sz w:val="32"/>
          <w:lang w:eastAsia="zh-CN"/>
        </w:rPr>
        <w:t>五</w:t>
      </w:r>
      <w:r>
        <w:rPr>
          <w:rFonts w:hint="eastAsia" w:ascii="仿宋_GB2312" w:hAnsi="黑体" w:eastAsia="仿宋_GB2312"/>
          <w:color w:val="auto"/>
          <w:sz w:val="32"/>
        </w:rPr>
        <w:t>）不得参评各级交通运输管理部门依法组织的表彰奖励活动</w:t>
      </w:r>
      <w:r>
        <w:rPr>
          <w:rFonts w:hint="eastAsia" w:ascii="仿宋_GB2312" w:hAnsi="黑体" w:eastAsia="仿宋_GB2312"/>
          <w:color w:val="auto"/>
          <w:sz w:val="32"/>
          <w:lang w:eastAsia="zh-CN"/>
        </w:rPr>
        <w:t>。</w:t>
      </w:r>
    </w:p>
    <w:p>
      <w:pPr>
        <w:spacing w:line="579" w:lineRule="exact"/>
        <w:ind w:firstLine="640" w:firstLineChars="200"/>
        <w:rPr>
          <w:rFonts w:hint="eastAsia" w:ascii="仿宋_GB2312" w:hAnsi="黑体" w:eastAsia="仿宋_GB2312"/>
          <w:color w:val="auto"/>
          <w:sz w:val="32"/>
          <w:lang w:eastAsia="zh-CN"/>
        </w:rPr>
      </w:pPr>
      <w:r>
        <w:rPr>
          <w:rFonts w:hint="eastAsia" w:ascii="仿宋_GB2312" w:hAnsi="黑体" w:eastAsia="仿宋_GB2312"/>
          <w:color w:val="auto"/>
          <w:sz w:val="32"/>
          <w:lang w:eastAsia="zh-CN"/>
        </w:rPr>
        <w:t>评价结果依法纳入公共信用信息报告。</w:t>
      </w:r>
    </w:p>
    <w:p>
      <w:pPr>
        <w:shd w:val="clear"/>
        <w:spacing w:line="579" w:lineRule="exact"/>
        <w:ind w:firstLine="640" w:firstLineChars="200"/>
        <w:rPr>
          <w:rFonts w:ascii="仿宋_GB2312" w:hAnsi="黑体" w:eastAsia="仿宋_GB2312"/>
          <w:color w:val="auto"/>
          <w:sz w:val="32"/>
        </w:rPr>
      </w:pP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第五章</w:t>
      </w:r>
      <w:r>
        <w:rPr>
          <w:rFonts w:hint="eastAsia" w:ascii="Times New Roman" w:hAnsi="Times New Roman" w:eastAsia="黑体" w:cs="Times New Roman"/>
          <w:color w:val="auto"/>
          <w:sz w:val="32"/>
          <w:szCs w:val="32"/>
          <w:lang w:val="en-US" w:eastAsia="zh-CN"/>
        </w:rPr>
        <w:t xml:space="preserve">  </w:t>
      </w:r>
      <w:r>
        <w:rPr>
          <w:rFonts w:hint="eastAsia" w:ascii="Times New Roman" w:hAnsi="Times New Roman" w:eastAsia="黑体" w:cs="Times New Roman"/>
          <w:color w:val="auto"/>
          <w:sz w:val="32"/>
          <w:szCs w:val="32"/>
        </w:rPr>
        <w:t>信用信息管理</w:t>
      </w:r>
    </w:p>
    <w:p>
      <w:pPr>
        <w:shd w:val="clear"/>
        <w:spacing w:line="579" w:lineRule="exact"/>
        <w:ind w:firstLine="642" w:firstLineChars="200"/>
        <w:rPr>
          <w:rFonts w:ascii="仿宋_GB2312" w:hAnsi="黑体" w:eastAsia="仿宋_GB2312"/>
          <w:b/>
          <w:color w:val="auto"/>
          <w:sz w:val="32"/>
        </w:rPr>
      </w:pP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第十</w:t>
      </w:r>
      <w:r>
        <w:rPr>
          <w:rFonts w:hint="eastAsia" w:ascii="仿宋_GB2312" w:hAnsi="黑体" w:eastAsia="仿宋_GB2312"/>
          <w:b/>
          <w:color w:val="auto"/>
          <w:sz w:val="32"/>
          <w:lang w:eastAsia="zh-CN"/>
        </w:rPr>
        <w:t>七</w:t>
      </w:r>
      <w:r>
        <w:rPr>
          <w:rFonts w:hint="eastAsia" w:ascii="仿宋_GB2312" w:hAnsi="黑体" w:eastAsia="仿宋_GB2312"/>
          <w:b/>
          <w:color w:val="auto"/>
          <w:sz w:val="32"/>
        </w:rPr>
        <w:t>条</w:t>
      </w:r>
      <w:r>
        <w:rPr>
          <w:rFonts w:hint="eastAsia" w:ascii="仿宋_GB2312" w:hAnsi="黑体" w:eastAsia="仿宋_GB2312"/>
          <w:color w:val="auto"/>
          <w:sz w:val="32"/>
        </w:rPr>
        <w:t xml:space="preserve"> 任何单位和个人发现</w:t>
      </w:r>
      <w:r>
        <w:rPr>
          <w:rFonts w:hint="eastAsia" w:ascii="仿宋_GB2312" w:hAnsi="黑体" w:eastAsia="仿宋_GB2312"/>
          <w:color w:val="auto"/>
          <w:sz w:val="32"/>
          <w:lang w:eastAsia="zh-CN"/>
        </w:rPr>
        <w:t>天津市水路运输市场</w:t>
      </w:r>
      <w:r>
        <w:rPr>
          <w:rFonts w:hint="eastAsia" w:ascii="仿宋_GB2312" w:hAnsi="黑体" w:eastAsia="仿宋_GB2312"/>
          <w:color w:val="auto"/>
          <w:sz w:val="32"/>
        </w:rPr>
        <w:t>从业单位</w:t>
      </w:r>
      <w:r>
        <w:rPr>
          <w:rFonts w:hint="eastAsia" w:ascii="仿宋_GB2312" w:hAnsi="黑体" w:eastAsia="仿宋_GB2312"/>
          <w:color w:val="auto"/>
          <w:sz w:val="32"/>
          <w:lang w:eastAsia="zh-CN"/>
        </w:rPr>
        <w:t>有</w:t>
      </w:r>
      <w:r>
        <w:rPr>
          <w:rFonts w:hint="eastAsia" w:ascii="仿宋_GB2312" w:hAnsi="黑体" w:eastAsia="仿宋_GB2312"/>
          <w:color w:val="auto"/>
          <w:sz w:val="32"/>
        </w:rPr>
        <w:t>信用信息</w:t>
      </w:r>
      <w:r>
        <w:rPr>
          <w:rFonts w:hint="eastAsia" w:ascii="仿宋_GB2312" w:hAnsi="黑体" w:eastAsia="仿宋_GB2312"/>
          <w:color w:val="auto"/>
          <w:sz w:val="32"/>
          <w:lang w:eastAsia="zh-CN"/>
        </w:rPr>
        <w:t>虚假错误等情况</w:t>
      </w:r>
      <w:r>
        <w:rPr>
          <w:rFonts w:hint="eastAsia" w:ascii="仿宋_GB2312" w:hAnsi="黑体" w:eastAsia="仿宋_GB2312"/>
          <w:color w:val="auto"/>
          <w:sz w:val="32"/>
        </w:rPr>
        <w:t>的，均可按前述</w:t>
      </w:r>
      <w:r>
        <w:rPr>
          <w:rFonts w:hint="eastAsia" w:ascii="仿宋_GB2312" w:hAnsi="黑体" w:eastAsia="仿宋_GB2312"/>
          <w:color w:val="auto"/>
          <w:sz w:val="32"/>
          <w:lang w:eastAsia="zh-CN"/>
        </w:rPr>
        <w:t>认定</w:t>
      </w:r>
      <w:r>
        <w:rPr>
          <w:rFonts w:hint="eastAsia" w:ascii="仿宋_GB2312" w:hAnsi="黑体" w:eastAsia="仿宋_GB2312"/>
          <w:color w:val="auto"/>
          <w:sz w:val="32"/>
        </w:rPr>
        <w:t>职责范围向相</w:t>
      </w:r>
      <w:r>
        <w:rPr>
          <w:rFonts w:hint="eastAsia" w:ascii="仿宋_GB2312" w:hAnsi="黑体" w:eastAsia="仿宋_GB2312"/>
          <w:color w:val="auto"/>
          <w:sz w:val="32"/>
          <w:lang w:eastAsia="zh-CN"/>
        </w:rPr>
        <w:t>关</w:t>
      </w:r>
      <w:r>
        <w:rPr>
          <w:rFonts w:hint="eastAsia" w:ascii="仿宋_GB2312" w:hAnsi="黑体" w:eastAsia="仿宋_GB2312"/>
          <w:color w:val="auto"/>
          <w:sz w:val="32"/>
        </w:rPr>
        <w:t>管理部门举报。相</w:t>
      </w:r>
      <w:r>
        <w:rPr>
          <w:rFonts w:hint="eastAsia" w:ascii="仿宋_GB2312" w:hAnsi="黑体" w:eastAsia="仿宋_GB2312"/>
          <w:color w:val="auto"/>
          <w:sz w:val="32"/>
          <w:lang w:eastAsia="zh-CN"/>
        </w:rPr>
        <w:t>关</w:t>
      </w:r>
      <w:r>
        <w:rPr>
          <w:rFonts w:hint="eastAsia" w:ascii="仿宋_GB2312" w:hAnsi="黑体" w:eastAsia="仿宋_GB2312"/>
          <w:color w:val="auto"/>
          <w:sz w:val="32"/>
        </w:rPr>
        <w:t>管理部门应当在接到举报材料之日起20个工作日内进行核查，予以处理，对于实名举报的，应及时将处理情况告知举报人，严禁违规泄露举报内容以及举报人姓名、住址、电话等个人信息。</w:t>
      </w:r>
    </w:p>
    <w:p>
      <w:pPr>
        <w:shd w:val="clear"/>
        <w:spacing w:line="579" w:lineRule="exact"/>
        <w:ind w:firstLine="642" w:firstLineChars="200"/>
        <w:rPr>
          <w:rFonts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十八</w:t>
      </w:r>
      <w:r>
        <w:rPr>
          <w:rFonts w:hint="eastAsia" w:ascii="仿宋_GB2312" w:hAnsi="黑体" w:eastAsia="仿宋_GB2312"/>
          <w:b/>
          <w:color w:val="auto"/>
          <w:sz w:val="32"/>
        </w:rPr>
        <w:t>条</w:t>
      </w:r>
      <w:r>
        <w:rPr>
          <w:rFonts w:hint="eastAsia" w:ascii="仿宋_GB2312" w:hAnsi="黑体" w:eastAsia="仿宋_GB2312"/>
          <w:color w:val="auto"/>
          <w:sz w:val="32"/>
        </w:rPr>
        <w:t xml:space="preserve"> 各管理部门应建立健全和严格执行保障信息安全的规章制度，并采取有效措施保障信息安全，不得实施下列行为：</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（一）篡改、虚构、违规删除信用信息；</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（二）泄露未经授权违规发布的信用信息；</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（三）泄露涉及国家秘密、商业秘密</w:t>
      </w:r>
      <w:r>
        <w:rPr>
          <w:rFonts w:hint="eastAsia" w:ascii="仿宋_GB2312" w:hAnsi="黑体" w:eastAsia="仿宋_GB2312"/>
          <w:color w:val="auto"/>
          <w:sz w:val="32"/>
          <w:lang w:eastAsia="zh-CN"/>
        </w:rPr>
        <w:t>、个人隐私</w:t>
      </w:r>
      <w:r>
        <w:rPr>
          <w:rFonts w:hint="eastAsia" w:ascii="仿宋_GB2312" w:hAnsi="黑体" w:eastAsia="仿宋_GB2312"/>
          <w:color w:val="auto"/>
          <w:sz w:val="32"/>
        </w:rPr>
        <w:t>的信用信息；</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（四）未按照规定对举报信息、异议信息进行核查和处理；</w:t>
      </w:r>
    </w:p>
    <w:p>
      <w:pPr>
        <w:shd w:val="clear"/>
        <w:spacing w:line="579" w:lineRule="exact"/>
        <w:ind w:firstLine="640" w:firstLineChars="200"/>
        <w:rPr>
          <w:rFonts w:ascii="仿宋_GB2312" w:hAnsi="黑体" w:eastAsia="仿宋_GB2312"/>
          <w:color w:val="auto"/>
          <w:sz w:val="32"/>
        </w:rPr>
      </w:pPr>
      <w:r>
        <w:rPr>
          <w:rFonts w:hint="eastAsia" w:ascii="仿宋_GB2312" w:hAnsi="黑体" w:eastAsia="仿宋_GB2312"/>
          <w:color w:val="auto"/>
          <w:sz w:val="32"/>
        </w:rPr>
        <w:t>（五）法律、法规和规章禁止的其他行为。</w:t>
      </w:r>
    </w:p>
    <w:p>
      <w:pPr>
        <w:widowControl/>
        <w:numPr>
          <w:ilvl w:val="0"/>
          <w:numId w:val="0"/>
        </w:numPr>
        <w:shd w:val="clear" w:color="auto"/>
        <w:spacing w:line="580" w:lineRule="exact"/>
        <w:ind w:leftChars="0"/>
        <w:jc w:val="center"/>
        <w:rPr>
          <w:rFonts w:hint="eastAsia" w:ascii="Times New Roman" w:hAnsi="Times New Roman" w:eastAsia="黑体" w:cs="Times New Roman"/>
          <w:color w:val="auto"/>
          <w:sz w:val="32"/>
          <w:szCs w:val="32"/>
          <w:lang w:eastAsia="zh-CN"/>
        </w:rPr>
      </w:pPr>
    </w:p>
    <w:p>
      <w:pPr>
        <w:widowControl/>
        <w:numPr>
          <w:ilvl w:val="0"/>
          <w:numId w:val="0"/>
        </w:numPr>
        <w:shd w:val="clear" w:color="auto"/>
        <w:spacing w:line="580" w:lineRule="exact"/>
        <w:ind w:leftChars="0"/>
        <w:jc w:val="center"/>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lang w:eastAsia="zh-CN"/>
        </w:rPr>
        <w:t>第六章</w:t>
      </w:r>
      <w:r>
        <w:rPr>
          <w:rFonts w:hint="eastAsia" w:ascii="Times New Roman" w:hAnsi="Times New Roman" w:eastAsia="黑体" w:cs="Times New Roman"/>
          <w:color w:val="auto"/>
          <w:sz w:val="32"/>
          <w:szCs w:val="32"/>
          <w:lang w:val="en-US" w:eastAsia="zh-CN"/>
        </w:rPr>
        <w:t xml:space="preserve">  附则</w:t>
      </w:r>
    </w:p>
    <w:p>
      <w:pPr>
        <w:shd w:val="clear"/>
        <w:spacing w:line="579" w:lineRule="exact"/>
        <w:ind w:firstLine="642" w:firstLineChars="200"/>
        <w:rPr>
          <w:rFonts w:hint="eastAsia" w:ascii="仿宋_GB2312" w:hAnsi="黑体" w:eastAsia="仿宋_GB2312"/>
          <w:b/>
          <w:color w:val="auto"/>
          <w:sz w:val="32"/>
        </w:rPr>
      </w:pPr>
    </w:p>
    <w:p>
      <w:pPr>
        <w:shd w:val="clear"/>
        <w:spacing w:line="579" w:lineRule="exact"/>
        <w:ind w:firstLine="642" w:firstLineChars="200"/>
        <w:rPr>
          <w:rFonts w:hint="eastAsia" w:ascii="仿宋_GB2312" w:hAnsi="黑体" w:eastAsia="仿宋_GB2312"/>
          <w:color w:val="auto"/>
          <w:sz w:val="32"/>
        </w:rPr>
      </w:pPr>
      <w:r>
        <w:rPr>
          <w:rFonts w:hint="eastAsia" w:ascii="仿宋_GB2312" w:hAnsi="黑体" w:eastAsia="仿宋_GB2312"/>
          <w:b/>
          <w:color w:val="auto"/>
          <w:sz w:val="32"/>
        </w:rPr>
        <w:t>第</w:t>
      </w:r>
      <w:r>
        <w:rPr>
          <w:rFonts w:hint="eastAsia" w:ascii="仿宋_GB2312" w:hAnsi="黑体" w:eastAsia="仿宋_GB2312"/>
          <w:b/>
          <w:color w:val="auto"/>
          <w:sz w:val="32"/>
          <w:lang w:eastAsia="zh-CN"/>
        </w:rPr>
        <w:t>十九</w:t>
      </w:r>
      <w:r>
        <w:rPr>
          <w:rFonts w:hint="eastAsia" w:ascii="仿宋_GB2312" w:hAnsi="黑体" w:eastAsia="仿宋_GB2312"/>
          <w:b/>
          <w:color w:val="auto"/>
          <w:sz w:val="32"/>
        </w:rPr>
        <w:t>条</w:t>
      </w:r>
      <w:r>
        <w:rPr>
          <w:rFonts w:hint="eastAsia" w:ascii="仿宋_GB2312" w:hAnsi="黑体" w:eastAsia="仿宋_GB2312"/>
          <w:color w:val="auto"/>
          <w:sz w:val="32"/>
        </w:rPr>
        <w:t xml:space="preserve"> 本办法自</w:t>
      </w:r>
      <w:r>
        <w:rPr>
          <w:rFonts w:hint="eastAsia" w:hAnsi="黑体"/>
          <w:color w:val="auto"/>
          <w:sz w:val="32"/>
          <w:lang w:val="en-US" w:eastAsia="zh-CN"/>
        </w:rPr>
        <w:t>2023年3月1</w:t>
      </w:r>
      <w:r>
        <w:rPr>
          <w:rFonts w:hint="eastAsia" w:ascii="仿宋_GB2312" w:hAnsi="黑体" w:eastAsia="仿宋_GB2312"/>
          <w:color w:val="auto"/>
          <w:sz w:val="32"/>
        </w:rPr>
        <w:t>日起实施。</w:t>
      </w:r>
    </w:p>
    <w:p>
      <w:pPr>
        <w:shd w:val="clear"/>
        <w:spacing w:line="579" w:lineRule="exact"/>
        <w:ind w:firstLine="640" w:firstLineChars="200"/>
        <w:rPr>
          <w:rFonts w:hint="eastAsia" w:ascii="仿宋_GB2312" w:hAnsi="黑体" w:eastAsia="仿宋_GB2312"/>
          <w:color w:val="auto"/>
          <w:sz w:val="32"/>
        </w:rPr>
      </w:pPr>
    </w:p>
    <w:p>
      <w:pPr>
        <w:shd w:val="clear"/>
        <w:spacing w:line="579" w:lineRule="exact"/>
        <w:ind w:firstLine="640" w:firstLineChars="200"/>
        <w:rPr>
          <w:rFonts w:hint="default" w:ascii="Times New Roman" w:hAnsi="Times New Roman" w:eastAsia="仿宋_GB2312" w:cs="Times New Roman"/>
          <w:color w:val="auto"/>
          <w:sz w:val="32"/>
        </w:rPr>
      </w:pPr>
      <w:r>
        <w:rPr>
          <w:rFonts w:hint="eastAsia" w:hAnsi="黑体"/>
          <w:color w:val="auto"/>
          <w:sz w:val="32"/>
          <w:lang w:eastAsia="zh-CN"/>
        </w:rPr>
        <w:t>附件：</w:t>
      </w:r>
      <w:r>
        <w:rPr>
          <w:rFonts w:hint="default" w:ascii="Times New Roman" w:hAnsi="Times New Roman" w:cs="Times New Roman"/>
          <w:color w:val="auto"/>
          <w:sz w:val="32"/>
          <w:lang w:val="en-US" w:eastAsia="zh-CN"/>
        </w:rPr>
        <w:t>1.</w:t>
      </w:r>
      <w:r>
        <w:rPr>
          <w:rFonts w:hint="default" w:ascii="Times New Roman" w:hAnsi="Times New Roman" w:eastAsia="仿宋_GB2312" w:cs="Times New Roman"/>
          <w:color w:val="auto"/>
          <w:sz w:val="32"/>
        </w:rPr>
        <w:t>从业单位加分项目信息及分值标准</w:t>
      </w:r>
    </w:p>
    <w:p>
      <w:pPr>
        <w:shd w:val="clear"/>
        <w:spacing w:line="579" w:lineRule="exact"/>
        <w:ind w:firstLine="640" w:firstLineChars="200"/>
        <w:rPr>
          <w:rFonts w:hint="default" w:ascii="Times New Roman" w:hAnsi="Times New Roman" w:eastAsia="仿宋_GB2312" w:cs="Times New Roman"/>
          <w:color w:val="auto"/>
          <w:sz w:val="32"/>
        </w:rPr>
      </w:pPr>
      <w:r>
        <w:rPr>
          <w:rFonts w:hint="default" w:ascii="Times New Roman" w:hAnsi="Times New Roman" w:cs="Times New Roman"/>
          <w:color w:val="auto"/>
          <w:sz w:val="32"/>
          <w:lang w:val="en-US" w:eastAsia="zh-CN"/>
        </w:rPr>
        <w:t xml:space="preserve">      2.</w:t>
      </w:r>
      <w:r>
        <w:rPr>
          <w:rFonts w:hint="default" w:ascii="Times New Roman" w:hAnsi="Times New Roman" w:eastAsia="仿宋_GB2312" w:cs="Times New Roman"/>
          <w:color w:val="auto"/>
          <w:sz w:val="32"/>
        </w:rPr>
        <w:t>从业单位减分项目信息及分值标准</w:t>
      </w:r>
    </w:p>
    <w:p>
      <w:pPr>
        <w:shd w:val="clear"/>
        <w:spacing w:line="579" w:lineRule="exact"/>
        <w:ind w:firstLine="640" w:firstLineChars="200"/>
        <w:rPr>
          <w:rFonts w:hint="eastAsia" w:ascii="仿宋_GB2312" w:hAnsi="黑体" w:eastAsia="仿宋_GB2312"/>
          <w:color w:val="auto"/>
          <w:sz w:val="32"/>
        </w:rPr>
      </w:pPr>
    </w:p>
    <w:p>
      <w:pPr>
        <w:shd w:val="clear"/>
        <w:rPr>
          <w:color w:val="auto"/>
          <w:sz w:val="28"/>
        </w:rPr>
      </w:pPr>
      <w:r>
        <w:rPr>
          <w:color w:val="auto"/>
          <w:sz w:val="28"/>
        </w:rPr>
        <w:br w:type="page"/>
      </w:r>
    </w:p>
    <w:p>
      <w:pPr>
        <w:shd w:val="clear"/>
        <w:spacing w:line="600" w:lineRule="exact"/>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1</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r>
        <w:rPr>
          <w:rFonts w:hint="default" w:ascii="Times New Roman" w:hAnsi="Times New Roman" w:eastAsia="方正小标宋简体" w:cs="Times New Roman"/>
          <w:color w:val="auto"/>
          <w:sz w:val="40"/>
          <w:szCs w:val="40"/>
        </w:rPr>
        <w:t>从业单位</w:t>
      </w:r>
      <w:r>
        <w:rPr>
          <w:rFonts w:hint="eastAsia" w:ascii="Times New Roman" w:hAnsi="Times New Roman" w:eastAsia="方正小标宋简体" w:cs="Times New Roman"/>
          <w:color w:val="auto"/>
          <w:sz w:val="40"/>
          <w:szCs w:val="40"/>
          <w:lang w:eastAsia="zh-CN"/>
        </w:rPr>
        <w:t>加分项目信息及分值标准</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p>
    <w:tbl>
      <w:tblPr>
        <w:tblStyle w:val="11"/>
        <w:tblW w:w="862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36"/>
        <w:gridCol w:w="6583"/>
        <w:gridCol w:w="13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blHeader/>
        </w:trPr>
        <w:tc>
          <w:tcPr>
            <w:tcW w:w="736" w:type="dxa"/>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序号</w:t>
            </w:r>
          </w:p>
        </w:tc>
        <w:tc>
          <w:tcPr>
            <w:tcW w:w="6583" w:type="dxa"/>
            <w:shd w:val="clear" w:color="auto" w:fill="auto"/>
            <w:vAlign w:val="center"/>
          </w:tcPr>
          <w:p>
            <w:pPr>
              <w:widowControl/>
              <w:shd w:val="clear"/>
              <w:spacing w:line="240" w:lineRule="auto"/>
              <w:ind w:firstLine="0" w:firstLineChars="0"/>
              <w:jc w:val="center"/>
              <w:rPr>
                <w:rFonts w:hint="eastAsia" w:ascii="Times New Roman" w:hAnsi="Times New Roman" w:eastAsia="仿宋" w:cs="Times New Roman"/>
                <w:b/>
                <w:bCs/>
                <w:color w:val="auto"/>
                <w:kern w:val="0"/>
                <w:sz w:val="24"/>
                <w:szCs w:val="24"/>
                <w:lang w:eastAsia="zh-CN"/>
              </w:rPr>
            </w:pPr>
            <w:r>
              <w:rPr>
                <w:rFonts w:hint="eastAsia" w:ascii="Times New Roman" w:hAnsi="Times New Roman" w:eastAsia="仿宋" w:cs="Times New Roman"/>
                <w:b/>
                <w:bCs/>
                <w:color w:val="auto"/>
                <w:kern w:val="0"/>
                <w:sz w:val="24"/>
                <w:szCs w:val="24"/>
                <w:lang w:eastAsia="zh-CN"/>
              </w:rPr>
              <w:t>加分项目</w:t>
            </w:r>
          </w:p>
        </w:tc>
        <w:tc>
          <w:tcPr>
            <w:tcW w:w="1304" w:type="dxa"/>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国务院交通运输主管部门认定的表彰奖励。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天津市交通运输主管部门或天津市港航管理机构认定的表彰奖励。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3</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全国性水路运输行业协会的表彰奖励。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4</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省级水路运输行业协会的表彰奖励。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完成紧急运输任务、救灾抢险等政府指令性应急运输任务信息。</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6</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因诚信经营、安全生产、优质服务等经营行为受到其他省级及以上监管部门表彰奖励。</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736"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7</w:t>
            </w:r>
          </w:p>
        </w:tc>
        <w:tc>
          <w:tcPr>
            <w:tcW w:w="6583"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参评时段内，天津市企业公共信用综合评价均为A级。</w:t>
            </w:r>
          </w:p>
        </w:tc>
        <w:tc>
          <w:tcPr>
            <w:tcW w:w="1304"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bl>
    <w:p>
      <w:pPr>
        <w:widowControl/>
        <w:shd w:val="clear"/>
        <w:spacing w:line="240" w:lineRule="auto"/>
        <w:ind w:firstLine="0" w:firstLineChars="0"/>
        <w:jc w:val="left"/>
        <w:rPr>
          <w:rFonts w:hint="default" w:ascii="Times New Roman" w:hAnsi="Times New Roman" w:eastAsia="仿宋" w:cs="Times New Roman"/>
          <w:color w:val="auto"/>
          <w:sz w:val="24"/>
          <w:szCs w:val="28"/>
        </w:rPr>
      </w:pPr>
    </w:p>
    <w:p>
      <w:pPr>
        <w:widowControl/>
        <w:numPr>
          <w:ilvl w:val="0"/>
          <w:numId w:val="0"/>
        </w:numPr>
        <w:shd w:val="clear"/>
        <w:spacing w:line="240" w:lineRule="auto"/>
        <w:ind w:left="1200" w:hanging="1200" w:hangingChars="50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说明：</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1</w:t>
      </w:r>
      <w:r>
        <w:rPr>
          <w:rFonts w:hint="eastAsia" w:ascii="Times New Roman" w:hAnsi="Times New Roman" w:eastAsia="仿宋" w:cs="Times New Roman"/>
          <w:color w:val="auto"/>
          <w:sz w:val="24"/>
          <w:szCs w:val="28"/>
          <w:lang w:val="en-US" w:eastAsia="zh-CN"/>
        </w:rPr>
        <w:t>. 从业单位应按时向</w:t>
      </w:r>
      <w:r>
        <w:rPr>
          <w:rFonts w:hint="eastAsia" w:ascii="Times New Roman" w:hAnsi="Times New Roman" w:eastAsia="仿宋" w:cs="Times New Roman"/>
          <w:color w:val="auto"/>
          <w:sz w:val="24"/>
          <w:szCs w:val="28"/>
          <w:lang w:eastAsia="zh-CN"/>
        </w:rPr>
        <w:t>相关水路运输管理部门申报加分项目信息并附相关证明材料。</w:t>
      </w:r>
    </w:p>
    <w:p>
      <w:pPr>
        <w:shd w:val="clear"/>
        <w:spacing w:line="360" w:lineRule="auto"/>
        <w:ind w:left="0" w:leftChars="0" w:firstLine="0" w:firstLineChars="0"/>
        <w:rPr>
          <w:rFonts w:hint="default" w:ascii="Times New Roman" w:hAnsi="Times New Roman" w:eastAsia="方正小标宋简体" w:cs="Times New Roman"/>
          <w:color w:val="auto"/>
          <w:sz w:val="32"/>
          <w:szCs w:val="32"/>
        </w:rPr>
      </w:pPr>
      <w:r>
        <w:rPr>
          <w:rFonts w:hint="default" w:ascii="Times New Roman" w:hAnsi="Times New Roman" w:eastAsia="方正小标宋简体" w:cs="Times New Roman"/>
          <w:color w:val="auto"/>
          <w:sz w:val="32"/>
          <w:szCs w:val="32"/>
        </w:rPr>
        <w:br w:type="page"/>
      </w:r>
    </w:p>
    <w:p>
      <w:pPr>
        <w:shd w:val="clear"/>
        <w:spacing w:line="600" w:lineRule="exact"/>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rPr>
        <w:t>附</w:t>
      </w:r>
      <w:r>
        <w:rPr>
          <w:rFonts w:hint="eastAsia" w:ascii="黑体" w:hAnsi="黑体" w:eastAsia="黑体" w:cs="黑体"/>
          <w:color w:val="auto"/>
          <w:sz w:val="32"/>
          <w:szCs w:val="32"/>
          <w:lang w:eastAsia="zh-CN"/>
        </w:rPr>
        <w:t>件</w:t>
      </w:r>
      <w:r>
        <w:rPr>
          <w:rFonts w:hint="eastAsia" w:ascii="黑体" w:hAnsi="黑体" w:eastAsia="黑体" w:cs="黑体"/>
          <w:color w:val="auto"/>
          <w:sz w:val="32"/>
          <w:szCs w:val="32"/>
          <w:lang w:val="en-US" w:eastAsia="zh-CN"/>
        </w:rPr>
        <w:t>2</w:t>
      </w:r>
    </w:p>
    <w:p>
      <w:pPr>
        <w:shd w:val="clear"/>
        <w:spacing w:line="240" w:lineRule="auto"/>
        <w:ind w:left="-432" w:leftChars="-135" w:firstLine="0" w:firstLineChars="0"/>
        <w:jc w:val="center"/>
        <w:rPr>
          <w:rFonts w:hint="eastAsia" w:ascii="Times New Roman" w:hAnsi="Times New Roman" w:eastAsia="方正小标宋简体" w:cs="Times New Roman"/>
          <w:color w:val="auto"/>
          <w:sz w:val="40"/>
          <w:szCs w:val="40"/>
          <w:lang w:eastAsia="zh-CN"/>
        </w:rPr>
      </w:pPr>
      <w:r>
        <w:rPr>
          <w:rFonts w:hint="default" w:ascii="Times New Roman" w:hAnsi="Times New Roman" w:eastAsia="方正小标宋简体" w:cs="Times New Roman"/>
          <w:color w:val="auto"/>
          <w:sz w:val="40"/>
          <w:szCs w:val="40"/>
        </w:rPr>
        <w:t>从业单位</w:t>
      </w:r>
      <w:r>
        <w:rPr>
          <w:rFonts w:hint="eastAsia" w:ascii="Times New Roman" w:hAnsi="Times New Roman" w:eastAsia="方正小标宋简体" w:cs="Times New Roman"/>
          <w:color w:val="auto"/>
          <w:sz w:val="40"/>
          <w:szCs w:val="40"/>
          <w:lang w:eastAsia="zh-CN"/>
        </w:rPr>
        <w:t>减分项目信息及分值标准</w:t>
      </w:r>
    </w:p>
    <w:p>
      <w:pPr>
        <w:shd w:val="clear"/>
        <w:spacing w:line="240" w:lineRule="auto"/>
        <w:ind w:left="-432" w:leftChars="-135" w:firstLine="0" w:firstLineChars="0"/>
        <w:jc w:val="center"/>
        <w:rPr>
          <w:rFonts w:hint="default" w:ascii="Times New Roman" w:hAnsi="Times New Roman" w:eastAsia="方正小标宋简体" w:cs="Times New Roman"/>
          <w:color w:val="auto"/>
          <w:sz w:val="20"/>
          <w:szCs w:val="40"/>
        </w:rPr>
      </w:pPr>
    </w:p>
    <w:tbl>
      <w:tblPr>
        <w:tblStyle w:val="11"/>
        <w:tblW w:w="502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801"/>
        <w:gridCol w:w="6133"/>
        <w:gridCol w:w="21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blHeader/>
        </w:trPr>
        <w:tc>
          <w:tcPr>
            <w:tcW w:w="440" w:type="pct"/>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序号</w:t>
            </w:r>
          </w:p>
        </w:tc>
        <w:tc>
          <w:tcPr>
            <w:tcW w:w="3367" w:type="pct"/>
            <w:shd w:val="clear" w:color="auto" w:fill="auto"/>
            <w:vAlign w:val="center"/>
          </w:tcPr>
          <w:p>
            <w:pPr>
              <w:widowControl/>
              <w:shd w:val="clear"/>
              <w:spacing w:line="240" w:lineRule="auto"/>
              <w:ind w:firstLine="0" w:firstLineChars="0"/>
              <w:jc w:val="center"/>
              <w:rPr>
                <w:rFonts w:hint="eastAsia" w:ascii="Times New Roman" w:hAnsi="Times New Roman" w:eastAsia="仿宋" w:cs="Times New Roman"/>
                <w:b/>
                <w:bCs/>
                <w:color w:val="auto"/>
                <w:kern w:val="0"/>
                <w:sz w:val="24"/>
                <w:szCs w:val="24"/>
                <w:lang w:eastAsia="zh-CN"/>
              </w:rPr>
            </w:pPr>
            <w:r>
              <w:rPr>
                <w:rFonts w:hint="eastAsia" w:ascii="Times New Roman" w:hAnsi="Times New Roman" w:eastAsia="仿宋" w:cs="Times New Roman"/>
                <w:b/>
                <w:bCs/>
                <w:color w:val="auto"/>
                <w:kern w:val="0"/>
                <w:sz w:val="24"/>
                <w:szCs w:val="24"/>
                <w:lang w:eastAsia="zh-CN"/>
              </w:rPr>
              <w:t>减分项目</w:t>
            </w:r>
          </w:p>
        </w:tc>
        <w:tc>
          <w:tcPr>
            <w:tcW w:w="1192" w:type="pct"/>
            <w:shd w:val="clear" w:color="auto" w:fill="auto"/>
            <w:vAlign w:val="center"/>
          </w:tcPr>
          <w:p>
            <w:pPr>
              <w:widowControl/>
              <w:shd w:val="clear"/>
              <w:spacing w:line="240" w:lineRule="auto"/>
              <w:ind w:firstLine="0" w:firstLineChars="0"/>
              <w:jc w:val="center"/>
              <w:rPr>
                <w:rFonts w:hint="default" w:ascii="Times New Roman" w:hAnsi="Times New Roman" w:eastAsia="仿宋" w:cs="Times New Roman"/>
                <w:b/>
                <w:bCs/>
                <w:color w:val="auto"/>
                <w:kern w:val="0"/>
                <w:sz w:val="24"/>
                <w:szCs w:val="24"/>
              </w:rPr>
            </w:pPr>
            <w:r>
              <w:rPr>
                <w:rFonts w:hint="default" w:ascii="Times New Roman" w:hAnsi="Times New Roman" w:eastAsia="仿宋" w:cs="Times New Roman"/>
                <w:b/>
                <w:bCs/>
                <w:color w:val="auto"/>
                <w:kern w:val="0"/>
                <w:sz w:val="24"/>
                <w:szCs w:val="24"/>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违反相关法律法规，由相关交通运输管理部门撤销相关经营资格或吊销相关许可证件。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违反相关法律法规，由相关交通运输管理部门责令停止经营、停产停业整顿。</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在申请交通运输有关行政许可、财政补贴等过程中提供虚假材料、谎报瞒报重要事项，或以欺骗、贿赂等不正当手段取得有关资质的。</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未经许可擅自经营，或不再符合许可条件继续经营以下业务其中之一的：</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国际客船或散装液体危险品船运输业务；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内地与港澳间客船或散装液体危险品船运输业务；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国内水路运输业务；</w:t>
            </w:r>
          </w:p>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国内船舶管理业务。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外国的企业、其他经济组织和个人经营或者以租用中国籍船舶或者舱位等方式变相经营水路运输业务。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水路运输经营者使用未取得船舶营运证件的船舶，或使用未经国务院交通运输管理部门许可的外国籍船舶从事水路运输。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擅自改装危险品船增加《船舶营业运输证》核定的载货定额或者变更从事散装液体危险货物运输种类。</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在水路运输行政管理过程中，被相关交通运输管理部门认定为提供虚假材料或违反有关承诺的信息。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伪造、变造、涂改《国内水路运输管理条例》规定的行政许可证件。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出租、出借、倒卖《国内水路运输管理条例》规定的行政许可证件或者以其他方式非法转让《国内水路运输管理条例》规定的行政许可。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水路运输经营者转让、出租、出借或者涂改《船舶营业运输证》。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船舶管理业务经营者出租、出借船舶管理业务经营许可证件，或者以其他形式非法转让船舶管理业务经营资格。</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船舶管理业务经营者与委托人订立虚假协议或者名义上接受委托实际不承担船舶海务、机务管理责任。</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水路运输辅助业务经营者以承运人的身份从事水路运输经营活动。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国际船舶运输经营者将其依法取得的经营资格提供给他人使用。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直接认定为D级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未履行备案手续擅自经营，或不再满足备案条件继续经营以下业务其中之一的：</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国际集装箱船、普通货船运输业务；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无船承运业务；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国际船舶代理业务；</w:t>
            </w:r>
          </w:p>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国际船舶管理业务；</w:t>
            </w:r>
          </w:p>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内地与港澳间集装箱船、普通货船运输业务。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未经批准，外国籍船舶擅自经营中华人民共和国港口之间的海上运输和拖航。</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未按照国家统计规定报送运输经营统计信息，或不配合交通运输管理部门其他必要信息归集统计，逾期未报送。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1299"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其他在经营过程中违反有关法律法规标准的规定，受到相关交通运输管理部门行政处罚、行政强制和通报批评、约谈等信息。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因安全责任事故、质量投诉、媒体曝光等受到有关监管部门处罚或列入“失信黑名单”。</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水路运输经营者拒绝管理部门根据《国内水路运输管理规定》进行监督检查或者隐匿有关资料或瞒报、谎报有关情况。</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水路运输经营者未按照《国内水路运输管理规定》要求配备海务、机务管理人员。</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水路运输经营者未履行有关备案义务。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水路运输经营者未以公布的票价或者变相变更公布的票价销售客票。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水路运输经营者进行虚假宣传，误导旅客或者托运人。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水路运输经营者以不正当方式或者不规范行为争抢客源、货源及提供运输服务扰乱市场秩序。</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水路运输经营者未使用规范的、符合有关法律法规和交通运输部规定的客票和运输单证。</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水路旅客运输业务经营者未为其经营的客运船舶投保承运人责任保险或者取得相应的财务担保。</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班轮运输业务经营者未提前向社会公布所使用的船舶、班期、班次和运价或者其变更信息。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旅客班轮运输业务经营者自取得班轮航线经营许可之日起60日内未开航。</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从事水路运输经营的船舶未随船携带船舶营运证件或具有同等效力的可查验信息。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862"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船舶报废后，船舶所有人或者经营人未将报废船舶的船舶营运证交回原发证机关。</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水路运输经营者终止经营的，未自终止经营之日起15个工作日内向原许可机关办理注销手续和交回许可证件。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经批准取得水路运输经营许可的外商投资企业外方投资者或者外方投资股比等事项发生变化的，未报原许可机关批准。</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水路旅客运输经营者未按《水路旅客运输实名制管理规定》的规定对客户身份进行查验，或者对身份不明、拒绝身份查验的客户提供服务。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水路旅客运输经营者的工作人员窃取、泄露旅客身份信息。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水路旅客运输业务经营者未就《国内水路运输管理规定》规定的运输服务事项，以明示的方式向旅客作出说明或者警示。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水路运输经营者未依照法律、行政法规和国家有关规定，优先运送处置突发事件所需物资、设备、工具、应急救援人员和受到突发事件危害的人员，重点保障紧急、重要的军事运输。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39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eastAsia="zh-CN"/>
              </w:rPr>
            </w:pPr>
            <w:r>
              <w:rPr>
                <w:rFonts w:hint="eastAsia" w:ascii="Times New Roman" w:hAnsi="Times New Roman" w:eastAsia="仿宋_GB2312" w:cs="Times New Roman"/>
                <w:bCs/>
                <w:color w:val="auto"/>
                <w:kern w:val="0"/>
                <w:sz w:val="24"/>
                <w:szCs w:val="24"/>
                <w:lang w:val="en-US" w:eastAsia="zh-CN"/>
              </w:rPr>
              <w:t>已取得《船舶营业运输证》的船舶转让或者变更经营者，未自发生上述情况之日起15个工作日内向原许可机关办理《船舶营业运输证》注销、变更手续。</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《船舶营业运输证》遗失或者损毁的，未及时向原配发机关申请补发。</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水路运输经营者与其直接订立一年以上劳动合同的高级船员比例不符合经营资质要求。</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经营者从事水路运输经营的船舶超出《船舶营业运输证》核定的经营范围；或者使用的外国及船舶超越国务院交通运输管理部门许可范围；或者临时从事水路运输的外国籍船舶，不遵守交通运输管理的有关规定，未按照批准的范围和期限进行运输。</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国内船舶管理业务经营者超越许可范围经营国内船舶管理业务。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船舶管理业务经营者未按规定要求配备相应海务、机务管理人员。</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船舶管理业务经营者终止经营的，未自终止经营之日起15个工作日内向原许可机关办理注销手续，交回许可证件。</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水路运输辅助业务经营者未按照《国内水路运输辅助业管理规定》有关规定履行备案或者报告义务。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水路运输辅助业务经营者为未依法取得水路运输业务经营许可或者超越许可范围的经营者提供水路运输辅助服务。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水路运输辅助业务经营者与船舶所有人、经营人、承租人未订立船舶管理协议或者协议未对船舶海务、机务管理责任做出明确规定。</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49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水路运输辅助业务经营者未订立书面合同、强行代理或者代办业务。</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50</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水路运输辅助业务经营者滥用优势地位，限制委托人选择其他代理服务提供者。</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51</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水路运输辅助业务经营者进行虚假宣传，误导旅客或者委托人。</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52</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水路运输辅助业务经营者以不正当方式或者不规范行为争抢客源、货源及提供其他水路运输辅助服务，扰乱市场秩序。</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53</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水路运输辅助业务经营者未在售票场所和售票网站的明显位置公布船舶、班期、班次、票价等信息。</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54</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水路运输辅助业务经营者未以公布的票价或者变相变更公布的票价销售客票。</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55</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水路运输辅助业务经营者使用的运输单证不符合有关规定。</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56</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水路运输辅助业务经营者未建立业务记录和管理台账。</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57</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水路运输辅助业务经营者拒绝管理部门进行的监督检查、隐匿有关资料或者瞒报、谎报有关情况。</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rPr>
            </w:pPr>
            <w:r>
              <w:rPr>
                <w:rFonts w:hint="eastAsia" w:ascii="Times New Roman" w:hAnsi="Times New Roman" w:eastAsia="仿宋_GB2312" w:cs="Times New Roman"/>
                <w:bCs/>
                <w:color w:val="auto"/>
                <w:kern w:val="0"/>
                <w:sz w:val="24"/>
                <w:szCs w:val="24"/>
                <w:lang w:val="en-US" w:eastAsia="zh-CN"/>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58</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参评时段内，天津市企业公共信用综合评价曾被评为C级。</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rPr>
            </w:pPr>
            <w:r>
              <w:rPr>
                <w:rFonts w:hint="eastAsia" w:ascii="Times New Roman" w:hAnsi="Times New Roman" w:eastAsia="仿宋_GB2312" w:cs="Times New Roman"/>
                <w:bCs/>
                <w:color w:val="auto"/>
                <w:kern w:val="0"/>
                <w:sz w:val="24"/>
                <w:szCs w:val="24"/>
                <w:lang w:val="en-US" w:eastAsia="zh-CN"/>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cantSplit/>
          <w:trHeight w:val="636" w:hRule="atLeast"/>
        </w:trPr>
        <w:tc>
          <w:tcPr>
            <w:tcW w:w="440"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59</w:t>
            </w:r>
          </w:p>
        </w:tc>
        <w:tc>
          <w:tcPr>
            <w:tcW w:w="3367"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left"/>
              <w:rPr>
                <w:rFonts w:hint="eastAsia"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参评时段内，天津市企业公共信用综合评价曾被评为D级。</w:t>
            </w:r>
          </w:p>
        </w:tc>
        <w:tc>
          <w:tcPr>
            <w:tcW w:w="1192" w:type="pct"/>
            <w:tcBorders>
              <w:top w:val="single" w:color="auto" w:sz="8" w:space="0"/>
              <w:left w:val="single" w:color="auto" w:sz="8" w:space="0"/>
              <w:bottom w:val="single" w:color="auto" w:sz="8" w:space="0"/>
              <w:right w:val="single" w:color="auto" w:sz="8" w:space="0"/>
            </w:tcBorders>
            <w:shd w:val="clear" w:color="auto" w:fill="auto"/>
            <w:vAlign w:val="center"/>
          </w:tcPr>
          <w:p>
            <w:pPr>
              <w:widowControl/>
              <w:shd w:val="clear"/>
              <w:spacing w:line="240" w:lineRule="auto"/>
              <w:ind w:firstLine="0" w:firstLineChars="0"/>
              <w:jc w:val="center"/>
              <w:rPr>
                <w:rFonts w:hint="default" w:ascii="Times New Roman" w:hAnsi="Times New Roman" w:eastAsia="仿宋_GB2312" w:cs="Times New Roman"/>
                <w:bCs/>
                <w:color w:val="auto"/>
                <w:kern w:val="0"/>
                <w:sz w:val="24"/>
                <w:szCs w:val="24"/>
                <w:lang w:val="en-US" w:eastAsia="zh-CN" w:bidi="ar-SA"/>
              </w:rPr>
            </w:pPr>
            <w:r>
              <w:rPr>
                <w:rFonts w:hint="eastAsia" w:ascii="Times New Roman" w:hAnsi="Times New Roman" w:eastAsia="仿宋_GB2312" w:cs="Times New Roman"/>
                <w:bCs/>
                <w:color w:val="auto"/>
                <w:kern w:val="0"/>
                <w:sz w:val="24"/>
                <w:szCs w:val="24"/>
                <w:lang w:val="en-US" w:eastAsia="zh-CN"/>
              </w:rPr>
              <w:t>20</w:t>
            </w:r>
          </w:p>
        </w:tc>
      </w:tr>
    </w:tbl>
    <w:p>
      <w:pPr>
        <w:widowControl/>
        <w:shd w:val="clear"/>
        <w:spacing w:line="240" w:lineRule="auto"/>
        <w:ind w:firstLine="0" w:firstLineChars="0"/>
        <w:jc w:val="left"/>
        <w:rPr>
          <w:rFonts w:hint="default" w:ascii="Times New Roman" w:hAnsi="Times New Roman" w:eastAsia="仿宋" w:cs="Times New Roman"/>
          <w:color w:val="auto"/>
          <w:sz w:val="24"/>
          <w:szCs w:val="28"/>
        </w:rPr>
      </w:pPr>
    </w:p>
    <w:p>
      <w:pPr>
        <w:widowControl/>
        <w:shd w:val="clear"/>
        <w:spacing w:line="240" w:lineRule="auto"/>
        <w:ind w:firstLine="0" w:firstLineChars="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说明：</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1</w:t>
      </w:r>
      <w:r>
        <w:rPr>
          <w:rFonts w:hint="eastAsia" w:ascii="Times New Roman" w:hAnsi="Times New Roman" w:eastAsia="仿宋" w:cs="Times New Roman"/>
          <w:color w:val="auto"/>
          <w:sz w:val="24"/>
          <w:szCs w:val="28"/>
          <w:lang w:val="en-US" w:eastAsia="zh-CN"/>
        </w:rPr>
        <w:t xml:space="preserve">. </w:t>
      </w:r>
      <w:r>
        <w:rPr>
          <w:rFonts w:hint="default" w:ascii="Times New Roman" w:hAnsi="Times New Roman" w:eastAsia="仿宋" w:cs="Times New Roman"/>
          <w:color w:val="auto"/>
          <w:sz w:val="24"/>
          <w:szCs w:val="28"/>
        </w:rPr>
        <w:t>本表中水路运输业务、船舶管理业务、水路运输辅助业务等未明确国</w:t>
      </w:r>
    </w:p>
    <w:p>
      <w:pPr>
        <w:widowControl/>
        <w:shd w:val="clear"/>
        <w:spacing w:line="240" w:lineRule="auto"/>
        <w:ind w:firstLine="1135" w:firstLineChars="473"/>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际国内范围的，均指国内业务；</w:t>
      </w:r>
    </w:p>
    <w:p>
      <w:pPr>
        <w:widowControl/>
        <w:numPr>
          <w:ilvl w:val="0"/>
          <w:numId w:val="1"/>
        </w:numPr>
        <w:shd w:val="clear"/>
        <w:spacing w:line="240" w:lineRule="auto"/>
        <w:ind w:left="420" w:leftChars="0" w:firstLine="420" w:firstLineChars="0"/>
        <w:jc w:val="left"/>
        <w:rPr>
          <w:rFonts w:hint="default" w:ascii="Times New Roman" w:hAnsi="Times New Roman" w:eastAsia="仿宋" w:cs="Times New Roman"/>
          <w:color w:val="auto"/>
          <w:sz w:val="24"/>
          <w:szCs w:val="28"/>
        </w:rPr>
      </w:pPr>
      <w:r>
        <w:rPr>
          <w:rFonts w:hint="default" w:ascii="Times New Roman" w:hAnsi="Times New Roman" w:eastAsia="仿宋" w:cs="Times New Roman"/>
          <w:color w:val="auto"/>
          <w:sz w:val="24"/>
          <w:szCs w:val="28"/>
        </w:rPr>
        <w:t>涉及船舶营运证的按船舶艘数计</w:t>
      </w:r>
      <w:r>
        <w:rPr>
          <w:rFonts w:hint="eastAsia" w:ascii="Times New Roman" w:hAnsi="Times New Roman" w:eastAsia="仿宋" w:cs="Times New Roman"/>
          <w:color w:val="auto"/>
          <w:sz w:val="24"/>
          <w:szCs w:val="28"/>
          <w:lang w:eastAsia="zh-CN"/>
        </w:rPr>
        <w:t>。</w:t>
      </w:r>
    </w:p>
    <w:p>
      <w:pPr>
        <w:spacing w:line="240" w:lineRule="auto"/>
        <w:ind w:firstLine="0" w:firstLineChars="0"/>
        <w:rPr>
          <w:rFonts w:hint="default" w:ascii="Times New Roman" w:hAnsi="Times New Roman" w:eastAsia="宋体" w:cs="Times New Roman"/>
          <w:color w:val="auto"/>
          <w:sz w:val="28"/>
          <w:szCs w:val="22"/>
        </w:rPr>
      </w:pPr>
    </w:p>
    <w:p>
      <w:pPr>
        <w:spacing w:line="579" w:lineRule="exact"/>
        <w:ind w:firstLine="0" w:firstLineChars="0"/>
        <w:rPr>
          <w:rFonts w:hint="default" w:ascii="Times New Roman" w:hAnsi="Times New Roman" w:cs="Times New Roman"/>
        </w:rPr>
      </w:pPr>
    </w:p>
    <w:p>
      <w:pPr>
        <w:spacing w:line="579" w:lineRule="exact"/>
        <w:ind w:firstLine="0" w:firstLineChars="0"/>
        <w:rPr>
          <w:rFonts w:hint="default" w:ascii="Times New Roman" w:hAnsi="Times New Roman" w:cs="Times New Roman"/>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fmt="numberInDash"/>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Calibri Light">
    <w:altName w:val="DejaVu Sans"/>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firstLine="0" w:firstLineChars="0"/>
      <w:jc w:val="right"/>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7"/>
                      <w:ind w:firstLine="0" w:firstLineChars="0"/>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- 13 -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rPr>
        <w:sz w:val="28"/>
        <w:szCs w:val="28"/>
      </w:rPr>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12 -</w:t>
    </w:r>
    <w:r>
      <w:rPr>
        <w:rFonts w:asci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AE6B3"/>
    <w:multiLevelType w:val="singleLevel"/>
    <w:tmpl w:val="1A3AE6B3"/>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bordersDoNotSurroundHeader w:val="true"/>
  <w:bordersDoNotSurroundFooter w:val="true"/>
  <w:documentProtection w:enforcement="0"/>
  <w:defaultTabStop w:val="420"/>
  <w:doNotHyphenateCaps/>
  <w:evenAndOddHeaders w:val="true"/>
  <w:drawingGridHorizontalSpacing w:val="160"/>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45"/>
    <w:rsid w:val="000077DD"/>
    <w:rsid w:val="0001473B"/>
    <w:rsid w:val="000153A5"/>
    <w:rsid w:val="00021A20"/>
    <w:rsid w:val="000311EE"/>
    <w:rsid w:val="00031B9F"/>
    <w:rsid w:val="00033417"/>
    <w:rsid w:val="000341EE"/>
    <w:rsid w:val="00042E67"/>
    <w:rsid w:val="00045D5E"/>
    <w:rsid w:val="00050D09"/>
    <w:rsid w:val="000571F8"/>
    <w:rsid w:val="000643DD"/>
    <w:rsid w:val="000717AA"/>
    <w:rsid w:val="000727A0"/>
    <w:rsid w:val="00080337"/>
    <w:rsid w:val="00081379"/>
    <w:rsid w:val="00083861"/>
    <w:rsid w:val="00085592"/>
    <w:rsid w:val="00085FBA"/>
    <w:rsid w:val="00091589"/>
    <w:rsid w:val="00093AFF"/>
    <w:rsid w:val="000953F9"/>
    <w:rsid w:val="000A127E"/>
    <w:rsid w:val="000A4999"/>
    <w:rsid w:val="000A5A70"/>
    <w:rsid w:val="000A6702"/>
    <w:rsid w:val="000B1AA6"/>
    <w:rsid w:val="000B3077"/>
    <w:rsid w:val="000B55F6"/>
    <w:rsid w:val="000C66B3"/>
    <w:rsid w:val="000D1DED"/>
    <w:rsid w:val="000D63D1"/>
    <w:rsid w:val="000E147D"/>
    <w:rsid w:val="000E7B3E"/>
    <w:rsid w:val="000F0CCB"/>
    <w:rsid w:val="000F2DC3"/>
    <w:rsid w:val="000F426D"/>
    <w:rsid w:val="000F5D53"/>
    <w:rsid w:val="000F7535"/>
    <w:rsid w:val="000F75B9"/>
    <w:rsid w:val="00101629"/>
    <w:rsid w:val="0010283A"/>
    <w:rsid w:val="00103065"/>
    <w:rsid w:val="00112719"/>
    <w:rsid w:val="0011432F"/>
    <w:rsid w:val="00116A5D"/>
    <w:rsid w:val="00116B7A"/>
    <w:rsid w:val="00117AEC"/>
    <w:rsid w:val="001254A0"/>
    <w:rsid w:val="00126873"/>
    <w:rsid w:val="0013623A"/>
    <w:rsid w:val="00141C05"/>
    <w:rsid w:val="00142D18"/>
    <w:rsid w:val="00147F04"/>
    <w:rsid w:val="00161920"/>
    <w:rsid w:val="00163DAF"/>
    <w:rsid w:val="00164142"/>
    <w:rsid w:val="00164B57"/>
    <w:rsid w:val="001667D6"/>
    <w:rsid w:val="00183024"/>
    <w:rsid w:val="00187DCF"/>
    <w:rsid w:val="001A21C5"/>
    <w:rsid w:val="001A7403"/>
    <w:rsid w:val="001D4845"/>
    <w:rsid w:val="001D5F02"/>
    <w:rsid w:val="001D7580"/>
    <w:rsid w:val="001E01E5"/>
    <w:rsid w:val="001E289A"/>
    <w:rsid w:val="001F1457"/>
    <w:rsid w:val="001F6815"/>
    <w:rsid w:val="001F6FB1"/>
    <w:rsid w:val="001F7E68"/>
    <w:rsid w:val="0020198A"/>
    <w:rsid w:val="00210345"/>
    <w:rsid w:val="002154FE"/>
    <w:rsid w:val="0021703A"/>
    <w:rsid w:val="0022099F"/>
    <w:rsid w:val="00227CF7"/>
    <w:rsid w:val="00244A6B"/>
    <w:rsid w:val="00244AA7"/>
    <w:rsid w:val="002513A8"/>
    <w:rsid w:val="00254CD6"/>
    <w:rsid w:val="00255E1E"/>
    <w:rsid w:val="002666F1"/>
    <w:rsid w:val="0027092F"/>
    <w:rsid w:val="0027299B"/>
    <w:rsid w:val="00287C07"/>
    <w:rsid w:val="00292DC2"/>
    <w:rsid w:val="002C38A4"/>
    <w:rsid w:val="002C7BDC"/>
    <w:rsid w:val="002D171F"/>
    <w:rsid w:val="002D1AD2"/>
    <w:rsid w:val="002D1D75"/>
    <w:rsid w:val="002E6BD1"/>
    <w:rsid w:val="002F4E24"/>
    <w:rsid w:val="002F4F30"/>
    <w:rsid w:val="00300E91"/>
    <w:rsid w:val="00301B3D"/>
    <w:rsid w:val="003028C7"/>
    <w:rsid w:val="00305DE9"/>
    <w:rsid w:val="00307349"/>
    <w:rsid w:val="00317C24"/>
    <w:rsid w:val="0032047D"/>
    <w:rsid w:val="0032510D"/>
    <w:rsid w:val="00333D9D"/>
    <w:rsid w:val="00342E75"/>
    <w:rsid w:val="003434C3"/>
    <w:rsid w:val="00351BC3"/>
    <w:rsid w:val="00352CB2"/>
    <w:rsid w:val="003545FA"/>
    <w:rsid w:val="00354A2C"/>
    <w:rsid w:val="00357782"/>
    <w:rsid w:val="0038439C"/>
    <w:rsid w:val="00386291"/>
    <w:rsid w:val="003865A5"/>
    <w:rsid w:val="00386E05"/>
    <w:rsid w:val="00393F9F"/>
    <w:rsid w:val="00397B09"/>
    <w:rsid w:val="003A1CB5"/>
    <w:rsid w:val="003A37FC"/>
    <w:rsid w:val="003A5494"/>
    <w:rsid w:val="003B1EB6"/>
    <w:rsid w:val="003C14C4"/>
    <w:rsid w:val="003C2DC4"/>
    <w:rsid w:val="003D047F"/>
    <w:rsid w:val="003D08E7"/>
    <w:rsid w:val="003D1F29"/>
    <w:rsid w:val="003D2500"/>
    <w:rsid w:val="003D489F"/>
    <w:rsid w:val="003E22B3"/>
    <w:rsid w:val="003E5C62"/>
    <w:rsid w:val="003E6CF2"/>
    <w:rsid w:val="003F1E08"/>
    <w:rsid w:val="003F4663"/>
    <w:rsid w:val="003F5FE2"/>
    <w:rsid w:val="003F6D00"/>
    <w:rsid w:val="004034A1"/>
    <w:rsid w:val="00404F96"/>
    <w:rsid w:val="00407070"/>
    <w:rsid w:val="004337FD"/>
    <w:rsid w:val="00434918"/>
    <w:rsid w:val="004367C3"/>
    <w:rsid w:val="004372E3"/>
    <w:rsid w:val="00440678"/>
    <w:rsid w:val="004414CE"/>
    <w:rsid w:val="00442A50"/>
    <w:rsid w:val="004563BC"/>
    <w:rsid w:val="00460140"/>
    <w:rsid w:val="00466865"/>
    <w:rsid w:val="00473946"/>
    <w:rsid w:val="004B38F2"/>
    <w:rsid w:val="004B5F0B"/>
    <w:rsid w:val="004D32B9"/>
    <w:rsid w:val="004D407F"/>
    <w:rsid w:val="004D5035"/>
    <w:rsid w:val="004D7F15"/>
    <w:rsid w:val="004E11E1"/>
    <w:rsid w:val="004E28D6"/>
    <w:rsid w:val="004E4232"/>
    <w:rsid w:val="004F202E"/>
    <w:rsid w:val="004F5577"/>
    <w:rsid w:val="00500DFC"/>
    <w:rsid w:val="005014FC"/>
    <w:rsid w:val="005047CF"/>
    <w:rsid w:val="00511A34"/>
    <w:rsid w:val="00522800"/>
    <w:rsid w:val="005256DF"/>
    <w:rsid w:val="00527E34"/>
    <w:rsid w:val="005318A3"/>
    <w:rsid w:val="005344DB"/>
    <w:rsid w:val="00535D84"/>
    <w:rsid w:val="005454BC"/>
    <w:rsid w:val="00546FAD"/>
    <w:rsid w:val="005476EF"/>
    <w:rsid w:val="00551DB5"/>
    <w:rsid w:val="005552F9"/>
    <w:rsid w:val="00562DB0"/>
    <w:rsid w:val="00567079"/>
    <w:rsid w:val="00572C4B"/>
    <w:rsid w:val="005852E5"/>
    <w:rsid w:val="005854E7"/>
    <w:rsid w:val="00586951"/>
    <w:rsid w:val="00591E1F"/>
    <w:rsid w:val="005A1CD4"/>
    <w:rsid w:val="005A3E4C"/>
    <w:rsid w:val="005A573F"/>
    <w:rsid w:val="005A676F"/>
    <w:rsid w:val="005A7589"/>
    <w:rsid w:val="005B1AAE"/>
    <w:rsid w:val="005B1D2D"/>
    <w:rsid w:val="005B32B7"/>
    <w:rsid w:val="005B3AF2"/>
    <w:rsid w:val="005B5801"/>
    <w:rsid w:val="005B6582"/>
    <w:rsid w:val="005C22EC"/>
    <w:rsid w:val="005C25E0"/>
    <w:rsid w:val="005D4C28"/>
    <w:rsid w:val="005E06F5"/>
    <w:rsid w:val="005F1B88"/>
    <w:rsid w:val="005F31B3"/>
    <w:rsid w:val="005F79A3"/>
    <w:rsid w:val="00605CD4"/>
    <w:rsid w:val="00607171"/>
    <w:rsid w:val="00607277"/>
    <w:rsid w:val="00610524"/>
    <w:rsid w:val="00610B6F"/>
    <w:rsid w:val="00623558"/>
    <w:rsid w:val="00636A0F"/>
    <w:rsid w:val="00644687"/>
    <w:rsid w:val="006572EC"/>
    <w:rsid w:val="006626A5"/>
    <w:rsid w:val="006661A7"/>
    <w:rsid w:val="00692FB6"/>
    <w:rsid w:val="00694186"/>
    <w:rsid w:val="006A1D71"/>
    <w:rsid w:val="006B0530"/>
    <w:rsid w:val="006B2FF4"/>
    <w:rsid w:val="006C3147"/>
    <w:rsid w:val="006D5152"/>
    <w:rsid w:val="006E33EB"/>
    <w:rsid w:val="006E3DF4"/>
    <w:rsid w:val="006E6CA3"/>
    <w:rsid w:val="006F3662"/>
    <w:rsid w:val="006F5964"/>
    <w:rsid w:val="00702510"/>
    <w:rsid w:val="007110AD"/>
    <w:rsid w:val="00713039"/>
    <w:rsid w:val="00715BC0"/>
    <w:rsid w:val="00734D5F"/>
    <w:rsid w:val="00741C90"/>
    <w:rsid w:val="007452F8"/>
    <w:rsid w:val="00747F16"/>
    <w:rsid w:val="00751A27"/>
    <w:rsid w:val="00756191"/>
    <w:rsid w:val="007844E2"/>
    <w:rsid w:val="007A63EC"/>
    <w:rsid w:val="007A7533"/>
    <w:rsid w:val="007B1A2A"/>
    <w:rsid w:val="007B20B1"/>
    <w:rsid w:val="007B2B75"/>
    <w:rsid w:val="007C3060"/>
    <w:rsid w:val="007C4516"/>
    <w:rsid w:val="007C7827"/>
    <w:rsid w:val="007D2ED6"/>
    <w:rsid w:val="007E78D3"/>
    <w:rsid w:val="00801814"/>
    <w:rsid w:val="008078C9"/>
    <w:rsid w:val="00813CBA"/>
    <w:rsid w:val="00823317"/>
    <w:rsid w:val="008260EF"/>
    <w:rsid w:val="008312D9"/>
    <w:rsid w:val="008362B3"/>
    <w:rsid w:val="00844C08"/>
    <w:rsid w:val="00850052"/>
    <w:rsid w:val="00855399"/>
    <w:rsid w:val="00860F30"/>
    <w:rsid w:val="00863512"/>
    <w:rsid w:val="0087142C"/>
    <w:rsid w:val="00873889"/>
    <w:rsid w:val="00880D35"/>
    <w:rsid w:val="00885575"/>
    <w:rsid w:val="008856AA"/>
    <w:rsid w:val="00894F7D"/>
    <w:rsid w:val="008A126B"/>
    <w:rsid w:val="008A1EB7"/>
    <w:rsid w:val="008B7939"/>
    <w:rsid w:val="008C7211"/>
    <w:rsid w:val="008D47D5"/>
    <w:rsid w:val="008F19F0"/>
    <w:rsid w:val="008F30F1"/>
    <w:rsid w:val="008F69EB"/>
    <w:rsid w:val="00901669"/>
    <w:rsid w:val="009174CA"/>
    <w:rsid w:val="00920D0F"/>
    <w:rsid w:val="00925DE3"/>
    <w:rsid w:val="00930761"/>
    <w:rsid w:val="0093295F"/>
    <w:rsid w:val="009365AD"/>
    <w:rsid w:val="00952DD2"/>
    <w:rsid w:val="00957222"/>
    <w:rsid w:val="0096313A"/>
    <w:rsid w:val="00965567"/>
    <w:rsid w:val="0098070C"/>
    <w:rsid w:val="00980ACC"/>
    <w:rsid w:val="00981A71"/>
    <w:rsid w:val="009A2E71"/>
    <w:rsid w:val="009A5CC1"/>
    <w:rsid w:val="009B2A94"/>
    <w:rsid w:val="009D2B9D"/>
    <w:rsid w:val="009F13DE"/>
    <w:rsid w:val="009F32B4"/>
    <w:rsid w:val="009F41B6"/>
    <w:rsid w:val="009F7502"/>
    <w:rsid w:val="00A027C0"/>
    <w:rsid w:val="00A02AD6"/>
    <w:rsid w:val="00A0436F"/>
    <w:rsid w:val="00A05B62"/>
    <w:rsid w:val="00A1232A"/>
    <w:rsid w:val="00A23877"/>
    <w:rsid w:val="00A31B1E"/>
    <w:rsid w:val="00A34FEB"/>
    <w:rsid w:val="00A35ACF"/>
    <w:rsid w:val="00A3603F"/>
    <w:rsid w:val="00A377D5"/>
    <w:rsid w:val="00A47A3A"/>
    <w:rsid w:val="00A50B50"/>
    <w:rsid w:val="00A529E1"/>
    <w:rsid w:val="00A53685"/>
    <w:rsid w:val="00A5431D"/>
    <w:rsid w:val="00A567B0"/>
    <w:rsid w:val="00A5727A"/>
    <w:rsid w:val="00A57553"/>
    <w:rsid w:val="00A627CA"/>
    <w:rsid w:val="00A83237"/>
    <w:rsid w:val="00A847FA"/>
    <w:rsid w:val="00A95AE6"/>
    <w:rsid w:val="00A96E3A"/>
    <w:rsid w:val="00A975A0"/>
    <w:rsid w:val="00AB0B4B"/>
    <w:rsid w:val="00AB27A2"/>
    <w:rsid w:val="00AD50B1"/>
    <w:rsid w:val="00AE5502"/>
    <w:rsid w:val="00AF1659"/>
    <w:rsid w:val="00AF397B"/>
    <w:rsid w:val="00AF40A2"/>
    <w:rsid w:val="00B07992"/>
    <w:rsid w:val="00B12ECC"/>
    <w:rsid w:val="00B13618"/>
    <w:rsid w:val="00B163AC"/>
    <w:rsid w:val="00B459DA"/>
    <w:rsid w:val="00B519D9"/>
    <w:rsid w:val="00B60FD8"/>
    <w:rsid w:val="00B63D31"/>
    <w:rsid w:val="00B76661"/>
    <w:rsid w:val="00B87D64"/>
    <w:rsid w:val="00B90D9A"/>
    <w:rsid w:val="00B9387D"/>
    <w:rsid w:val="00B93B0E"/>
    <w:rsid w:val="00B964C9"/>
    <w:rsid w:val="00BB600F"/>
    <w:rsid w:val="00BC1FC7"/>
    <w:rsid w:val="00BC70AC"/>
    <w:rsid w:val="00BC7764"/>
    <w:rsid w:val="00BC7FE5"/>
    <w:rsid w:val="00BD00F5"/>
    <w:rsid w:val="00BD28F0"/>
    <w:rsid w:val="00BD6971"/>
    <w:rsid w:val="00BE390A"/>
    <w:rsid w:val="00BE6B25"/>
    <w:rsid w:val="00BF0937"/>
    <w:rsid w:val="00BF5C7B"/>
    <w:rsid w:val="00BF6A50"/>
    <w:rsid w:val="00C03CBE"/>
    <w:rsid w:val="00C136A8"/>
    <w:rsid w:val="00C1448F"/>
    <w:rsid w:val="00C172E1"/>
    <w:rsid w:val="00C439E6"/>
    <w:rsid w:val="00C45DDB"/>
    <w:rsid w:val="00C47A6B"/>
    <w:rsid w:val="00C47CEC"/>
    <w:rsid w:val="00C529F1"/>
    <w:rsid w:val="00C55EBC"/>
    <w:rsid w:val="00C85425"/>
    <w:rsid w:val="00C87D05"/>
    <w:rsid w:val="00C931A8"/>
    <w:rsid w:val="00C9695F"/>
    <w:rsid w:val="00CA1A02"/>
    <w:rsid w:val="00CA715D"/>
    <w:rsid w:val="00CB1FBC"/>
    <w:rsid w:val="00CC5054"/>
    <w:rsid w:val="00CE04A4"/>
    <w:rsid w:val="00CE6E51"/>
    <w:rsid w:val="00CF1217"/>
    <w:rsid w:val="00CF3345"/>
    <w:rsid w:val="00CF55EC"/>
    <w:rsid w:val="00CF62E8"/>
    <w:rsid w:val="00CF7BDB"/>
    <w:rsid w:val="00D046FA"/>
    <w:rsid w:val="00D079C7"/>
    <w:rsid w:val="00D119BD"/>
    <w:rsid w:val="00D11CD0"/>
    <w:rsid w:val="00D13AA3"/>
    <w:rsid w:val="00D15F45"/>
    <w:rsid w:val="00D33C9C"/>
    <w:rsid w:val="00D37E2A"/>
    <w:rsid w:val="00D4583C"/>
    <w:rsid w:val="00D4696D"/>
    <w:rsid w:val="00D50D81"/>
    <w:rsid w:val="00D56BCF"/>
    <w:rsid w:val="00D62733"/>
    <w:rsid w:val="00D7377A"/>
    <w:rsid w:val="00D7751A"/>
    <w:rsid w:val="00D911CB"/>
    <w:rsid w:val="00D92548"/>
    <w:rsid w:val="00D92AC5"/>
    <w:rsid w:val="00D932CB"/>
    <w:rsid w:val="00D9684B"/>
    <w:rsid w:val="00DA2F6F"/>
    <w:rsid w:val="00DA42BA"/>
    <w:rsid w:val="00DA65CB"/>
    <w:rsid w:val="00DB0EB9"/>
    <w:rsid w:val="00DB252A"/>
    <w:rsid w:val="00DB7B3B"/>
    <w:rsid w:val="00DC2C2B"/>
    <w:rsid w:val="00DC3077"/>
    <w:rsid w:val="00DD3698"/>
    <w:rsid w:val="00DE555A"/>
    <w:rsid w:val="00DE5DC0"/>
    <w:rsid w:val="00DF2299"/>
    <w:rsid w:val="00E02F9C"/>
    <w:rsid w:val="00E07ADE"/>
    <w:rsid w:val="00E11E24"/>
    <w:rsid w:val="00E2647F"/>
    <w:rsid w:val="00E3565C"/>
    <w:rsid w:val="00E37133"/>
    <w:rsid w:val="00E434B8"/>
    <w:rsid w:val="00E54D90"/>
    <w:rsid w:val="00E5556D"/>
    <w:rsid w:val="00E55955"/>
    <w:rsid w:val="00E60EA4"/>
    <w:rsid w:val="00E64CF4"/>
    <w:rsid w:val="00E7206F"/>
    <w:rsid w:val="00E73B4F"/>
    <w:rsid w:val="00E81C09"/>
    <w:rsid w:val="00E93F97"/>
    <w:rsid w:val="00EA2603"/>
    <w:rsid w:val="00EA5F5D"/>
    <w:rsid w:val="00EA7BC9"/>
    <w:rsid w:val="00EB1486"/>
    <w:rsid w:val="00EB717E"/>
    <w:rsid w:val="00EC68EB"/>
    <w:rsid w:val="00EE31EE"/>
    <w:rsid w:val="00EE54B1"/>
    <w:rsid w:val="00EF0F18"/>
    <w:rsid w:val="00EF16E5"/>
    <w:rsid w:val="00F00477"/>
    <w:rsid w:val="00F02B9D"/>
    <w:rsid w:val="00F03DBD"/>
    <w:rsid w:val="00F0462C"/>
    <w:rsid w:val="00F145C9"/>
    <w:rsid w:val="00F172D2"/>
    <w:rsid w:val="00F31ABC"/>
    <w:rsid w:val="00F34275"/>
    <w:rsid w:val="00F37C21"/>
    <w:rsid w:val="00F559F4"/>
    <w:rsid w:val="00F55DB4"/>
    <w:rsid w:val="00F57B33"/>
    <w:rsid w:val="00F57FF5"/>
    <w:rsid w:val="00F62BA7"/>
    <w:rsid w:val="00F64D7E"/>
    <w:rsid w:val="00F705AF"/>
    <w:rsid w:val="00F94FB1"/>
    <w:rsid w:val="00F967C6"/>
    <w:rsid w:val="00F97175"/>
    <w:rsid w:val="00FA1350"/>
    <w:rsid w:val="00FB0513"/>
    <w:rsid w:val="00FB1411"/>
    <w:rsid w:val="00FC188A"/>
    <w:rsid w:val="00FC5A35"/>
    <w:rsid w:val="00FC5E06"/>
    <w:rsid w:val="00FD1D41"/>
    <w:rsid w:val="00FD1FC2"/>
    <w:rsid w:val="00FD5E4B"/>
    <w:rsid w:val="00FE4B73"/>
    <w:rsid w:val="00FE6292"/>
    <w:rsid w:val="00FF27FD"/>
    <w:rsid w:val="00FF3D87"/>
    <w:rsid w:val="013F575F"/>
    <w:rsid w:val="01E116F6"/>
    <w:rsid w:val="02616303"/>
    <w:rsid w:val="05D70F18"/>
    <w:rsid w:val="064C0115"/>
    <w:rsid w:val="07E87E9D"/>
    <w:rsid w:val="0A6A014C"/>
    <w:rsid w:val="0BDB540D"/>
    <w:rsid w:val="0CEF1396"/>
    <w:rsid w:val="0D472AD1"/>
    <w:rsid w:val="0DF22386"/>
    <w:rsid w:val="0F605059"/>
    <w:rsid w:val="104139E7"/>
    <w:rsid w:val="11565E1E"/>
    <w:rsid w:val="15B157A1"/>
    <w:rsid w:val="176A222E"/>
    <w:rsid w:val="17A77C93"/>
    <w:rsid w:val="17C318AC"/>
    <w:rsid w:val="185931F4"/>
    <w:rsid w:val="1A05714B"/>
    <w:rsid w:val="1B86EECB"/>
    <w:rsid w:val="1BFD443F"/>
    <w:rsid w:val="1C3C0A63"/>
    <w:rsid w:val="1DC31A39"/>
    <w:rsid w:val="1EB61E59"/>
    <w:rsid w:val="1F1C1E39"/>
    <w:rsid w:val="22F84F95"/>
    <w:rsid w:val="232D165B"/>
    <w:rsid w:val="267E364F"/>
    <w:rsid w:val="26FFD17F"/>
    <w:rsid w:val="283B2554"/>
    <w:rsid w:val="28FF6AA1"/>
    <w:rsid w:val="298D1BE0"/>
    <w:rsid w:val="2A8279C5"/>
    <w:rsid w:val="2C2A7317"/>
    <w:rsid w:val="2D00398C"/>
    <w:rsid w:val="2D5469CB"/>
    <w:rsid w:val="31AA0AB0"/>
    <w:rsid w:val="3212265E"/>
    <w:rsid w:val="32B12B14"/>
    <w:rsid w:val="35187D17"/>
    <w:rsid w:val="369477F8"/>
    <w:rsid w:val="36EF2CDC"/>
    <w:rsid w:val="38E5139C"/>
    <w:rsid w:val="3A99097F"/>
    <w:rsid w:val="3AFFD713"/>
    <w:rsid w:val="3BDD3B66"/>
    <w:rsid w:val="3CF87622"/>
    <w:rsid w:val="3EF2538E"/>
    <w:rsid w:val="3EFFC541"/>
    <w:rsid w:val="3FFFFAB8"/>
    <w:rsid w:val="407F01B2"/>
    <w:rsid w:val="41EC2D55"/>
    <w:rsid w:val="44341478"/>
    <w:rsid w:val="488107D2"/>
    <w:rsid w:val="49F5AD2D"/>
    <w:rsid w:val="4B9B3C1F"/>
    <w:rsid w:val="4BBFB7CD"/>
    <w:rsid w:val="4D3A75B7"/>
    <w:rsid w:val="4DE77F70"/>
    <w:rsid w:val="4EBF0286"/>
    <w:rsid w:val="509941F9"/>
    <w:rsid w:val="511A16B2"/>
    <w:rsid w:val="567D20D9"/>
    <w:rsid w:val="56B924FA"/>
    <w:rsid w:val="57464B90"/>
    <w:rsid w:val="57797653"/>
    <w:rsid w:val="597B36B6"/>
    <w:rsid w:val="59C27524"/>
    <w:rsid w:val="5BF719BD"/>
    <w:rsid w:val="5CB384FC"/>
    <w:rsid w:val="5DEFA8B8"/>
    <w:rsid w:val="5E526202"/>
    <w:rsid w:val="5F8E2E22"/>
    <w:rsid w:val="5FAE97B0"/>
    <w:rsid w:val="5FE66F03"/>
    <w:rsid w:val="62D26B05"/>
    <w:rsid w:val="62E0167B"/>
    <w:rsid w:val="63B21350"/>
    <w:rsid w:val="65557C07"/>
    <w:rsid w:val="65A4524D"/>
    <w:rsid w:val="66BD54F4"/>
    <w:rsid w:val="693EAE67"/>
    <w:rsid w:val="6AD77B48"/>
    <w:rsid w:val="6BAB8D61"/>
    <w:rsid w:val="6C7F0AD9"/>
    <w:rsid w:val="6C902772"/>
    <w:rsid w:val="6D946570"/>
    <w:rsid w:val="6FE55DB6"/>
    <w:rsid w:val="74507DD7"/>
    <w:rsid w:val="764C7450"/>
    <w:rsid w:val="76B55588"/>
    <w:rsid w:val="77BE2DF5"/>
    <w:rsid w:val="77F7C730"/>
    <w:rsid w:val="77FF47E3"/>
    <w:rsid w:val="789A6BE3"/>
    <w:rsid w:val="78E269F1"/>
    <w:rsid w:val="79227D5C"/>
    <w:rsid w:val="79BB3D15"/>
    <w:rsid w:val="7B12209A"/>
    <w:rsid w:val="7B70B7CE"/>
    <w:rsid w:val="7C2A2176"/>
    <w:rsid w:val="7D7FF04D"/>
    <w:rsid w:val="7DFF4BDB"/>
    <w:rsid w:val="7EFB84A6"/>
    <w:rsid w:val="7EFE8B1B"/>
    <w:rsid w:val="7EFF6DFD"/>
    <w:rsid w:val="7F64415D"/>
    <w:rsid w:val="7F7F558F"/>
    <w:rsid w:val="7FDABF69"/>
    <w:rsid w:val="7FFF3AAB"/>
    <w:rsid w:val="97FDBBA3"/>
    <w:rsid w:val="9BB6849B"/>
    <w:rsid w:val="9FDEA323"/>
    <w:rsid w:val="A0FA0D1A"/>
    <w:rsid w:val="AB5AD27A"/>
    <w:rsid w:val="B5EE0D34"/>
    <w:rsid w:val="B63DFB1E"/>
    <w:rsid w:val="B7BACA6D"/>
    <w:rsid w:val="BB9BABF7"/>
    <w:rsid w:val="BC7B3B44"/>
    <w:rsid w:val="BFBD64A2"/>
    <w:rsid w:val="BFD6E297"/>
    <w:rsid w:val="CBFF15A4"/>
    <w:rsid w:val="CFFFD847"/>
    <w:rsid w:val="D2FF12DA"/>
    <w:rsid w:val="D99F1C25"/>
    <w:rsid w:val="DA35DC83"/>
    <w:rsid w:val="DAFDD855"/>
    <w:rsid w:val="DB7F421E"/>
    <w:rsid w:val="DEBF0F69"/>
    <w:rsid w:val="DFF68D8B"/>
    <w:rsid w:val="DFFEF82B"/>
    <w:rsid w:val="E5EFE0C2"/>
    <w:rsid w:val="E5FF5CBE"/>
    <w:rsid w:val="EA79E868"/>
    <w:rsid w:val="EA7F3D17"/>
    <w:rsid w:val="EDF4C91E"/>
    <w:rsid w:val="EDF63753"/>
    <w:rsid w:val="EF730C84"/>
    <w:rsid w:val="EF76F633"/>
    <w:rsid w:val="EFEF650F"/>
    <w:rsid w:val="F1FD3BE8"/>
    <w:rsid w:val="F1FEBD99"/>
    <w:rsid w:val="F2BDC2FC"/>
    <w:rsid w:val="F3FEA3B9"/>
    <w:rsid w:val="F5B28BE1"/>
    <w:rsid w:val="F6DF6AB3"/>
    <w:rsid w:val="F7CF8790"/>
    <w:rsid w:val="F7F615C8"/>
    <w:rsid w:val="F7FFE7E7"/>
    <w:rsid w:val="F9E5AC1B"/>
    <w:rsid w:val="F9FB4646"/>
    <w:rsid w:val="FBBA8CA9"/>
    <w:rsid w:val="FBBBF820"/>
    <w:rsid w:val="FD6F4DBF"/>
    <w:rsid w:val="FDF12DDC"/>
    <w:rsid w:val="FE8F7EB5"/>
    <w:rsid w:val="FEFFBCDB"/>
    <w:rsid w:val="FF72C095"/>
    <w:rsid w:val="FFBF25EE"/>
    <w:rsid w:val="FFCF8C83"/>
    <w:rsid w:val="FFDFC247"/>
    <w:rsid w:val="FFEFD7BF"/>
    <w:rsid w:val="FFF3221A"/>
    <w:rsid w:val="FFFEF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0" w:firstLineChars="200"/>
      <w:jc w:val="both"/>
    </w:pPr>
    <w:rPr>
      <w:rFonts w:ascii="仿宋_GB2312" w:hAnsi="宋体" w:eastAsia="仿宋_GB2312" w:cs="仿宋_GB2312"/>
      <w:color w:val="000000"/>
      <w:kern w:val="2"/>
      <w:sz w:val="32"/>
      <w:szCs w:val="32"/>
      <w:lang w:val="en-US" w:eastAsia="zh-CN" w:bidi="ar-SA"/>
    </w:rPr>
  </w:style>
  <w:style w:type="paragraph" w:styleId="2">
    <w:name w:val="heading 1"/>
    <w:basedOn w:val="1"/>
    <w:next w:val="1"/>
    <w:link w:val="18"/>
    <w:qFormat/>
    <w:uiPriority w:val="99"/>
    <w:pPr>
      <w:keepNext/>
      <w:keepLines/>
      <w:spacing w:line="580" w:lineRule="exact"/>
      <w:ind w:firstLine="200"/>
      <w:jc w:val="left"/>
      <w:outlineLvl w:val="0"/>
    </w:pPr>
    <w:rPr>
      <w:rFonts w:ascii="黑体" w:hAnsi="黑体" w:eastAsia="黑体" w:cs="黑体"/>
      <w:kern w:val="44"/>
    </w:rPr>
  </w:style>
  <w:style w:type="paragraph" w:styleId="3">
    <w:name w:val="heading 2"/>
    <w:basedOn w:val="1"/>
    <w:next w:val="1"/>
    <w:link w:val="16"/>
    <w:qFormat/>
    <w:uiPriority w:val="99"/>
    <w:pPr>
      <w:keepLines/>
      <w:spacing w:line="240" w:lineRule="auto"/>
      <w:ind w:firstLine="200"/>
      <w:jc w:val="left"/>
      <w:outlineLvl w:val="1"/>
    </w:pPr>
    <w:rPr>
      <w:rFonts w:hAnsi="黑体"/>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3"/>
    <w:qFormat/>
    <w:uiPriority w:val="0"/>
    <w:pPr>
      <w:spacing w:line="240" w:lineRule="auto"/>
      <w:ind w:firstLine="0" w:firstLineChars="0"/>
    </w:pPr>
    <w:rPr>
      <w:rFonts w:ascii="Calibri" w:hAnsi="Calibri" w:eastAsia="文星仿宋" w:cs="Times New Roman"/>
      <w:color w:val="auto"/>
      <w:szCs w:val="22"/>
    </w:rPr>
  </w:style>
  <w:style w:type="paragraph" w:styleId="5">
    <w:name w:val="Date"/>
    <w:basedOn w:val="1"/>
    <w:next w:val="1"/>
    <w:link w:val="19"/>
    <w:unhideWhenUsed/>
    <w:qFormat/>
    <w:uiPriority w:val="99"/>
    <w:pPr>
      <w:ind w:left="100" w:leftChars="2500"/>
    </w:pPr>
  </w:style>
  <w:style w:type="paragraph" w:styleId="6">
    <w:name w:val="Balloon Text"/>
    <w:basedOn w:val="1"/>
    <w:link w:val="24"/>
    <w:unhideWhenUsed/>
    <w:qFormat/>
    <w:uiPriority w:val="99"/>
    <w:pPr>
      <w:spacing w:line="240" w:lineRule="auto"/>
    </w:pPr>
    <w:rPr>
      <w:sz w:val="18"/>
      <w:szCs w:val="18"/>
    </w:rPr>
  </w:style>
  <w:style w:type="paragraph" w:styleId="7">
    <w:name w:val="footer"/>
    <w:basedOn w:val="1"/>
    <w:link w:val="15"/>
    <w:unhideWhenUsed/>
    <w:qFormat/>
    <w:uiPriority w:val="99"/>
    <w:pPr>
      <w:tabs>
        <w:tab w:val="center" w:pos="4153"/>
        <w:tab w:val="right" w:pos="8306"/>
      </w:tabs>
      <w:snapToGrid w:val="0"/>
      <w:spacing w:line="240" w:lineRule="auto"/>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9">
    <w:name w:val="Normal (Web)"/>
    <w:basedOn w:val="1"/>
    <w:qFormat/>
    <w:uiPriority w:val="0"/>
    <w:pPr>
      <w:spacing w:line="240" w:lineRule="auto"/>
      <w:ind w:firstLine="0" w:firstLineChars="0"/>
    </w:pPr>
    <w:rPr>
      <w:rFonts w:ascii="Times New Roman" w:hAnsi="Times New Roman" w:eastAsia="宋体" w:cs="Times New Roman"/>
      <w:color w:val="auto"/>
      <w:sz w:val="24"/>
      <w:szCs w:val="24"/>
    </w:rPr>
  </w:style>
  <w:style w:type="paragraph" w:styleId="10">
    <w:name w:val="Title"/>
    <w:basedOn w:val="1"/>
    <w:next w:val="1"/>
    <w:link w:val="17"/>
    <w:qFormat/>
    <w:uiPriority w:val="99"/>
    <w:pPr>
      <w:spacing w:afterLines="100" w:line="700" w:lineRule="exact"/>
      <w:ind w:firstLine="0" w:firstLineChars="0"/>
      <w:jc w:val="center"/>
      <w:outlineLvl w:val="0"/>
    </w:pPr>
    <w:rPr>
      <w:rFonts w:ascii="Calibri Light" w:hAnsi="Calibri Light" w:eastAsia="方正小标宋简体" w:cs="Calibri Light"/>
      <w:sz w:val="44"/>
      <w:szCs w:val="44"/>
    </w:rPr>
  </w:style>
  <w:style w:type="table" w:styleId="12">
    <w:name w:val="Table Grid"/>
    <w:unhideWhenUsed/>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4">
    <w:name w:val="page number"/>
    <w:qFormat/>
    <w:uiPriority w:val="0"/>
  </w:style>
  <w:style w:type="character" w:customStyle="1" w:styleId="15">
    <w:name w:val="页脚 Char"/>
    <w:link w:val="7"/>
    <w:qFormat/>
    <w:uiPriority w:val="99"/>
    <w:rPr>
      <w:rFonts w:ascii="仿宋_GB2312" w:hAnsi="宋体" w:eastAsia="仿宋_GB2312" w:cs="仿宋_GB2312"/>
      <w:color w:val="000000"/>
      <w:sz w:val="18"/>
      <w:szCs w:val="18"/>
    </w:rPr>
  </w:style>
  <w:style w:type="character" w:customStyle="1" w:styleId="16">
    <w:name w:val="标题 2 Char"/>
    <w:link w:val="3"/>
    <w:qFormat/>
    <w:locked/>
    <w:uiPriority w:val="99"/>
    <w:rPr>
      <w:rFonts w:ascii="仿宋_GB2312" w:hAnsi="黑体" w:eastAsia="仿宋_GB2312" w:cs="仿宋_GB2312"/>
      <w:color w:val="000000"/>
      <w:sz w:val="28"/>
      <w:szCs w:val="28"/>
    </w:rPr>
  </w:style>
  <w:style w:type="character" w:customStyle="1" w:styleId="17">
    <w:name w:val="标题 Char"/>
    <w:link w:val="10"/>
    <w:qFormat/>
    <w:locked/>
    <w:uiPriority w:val="99"/>
    <w:rPr>
      <w:rFonts w:ascii="Calibri Light" w:hAnsi="Calibri Light" w:eastAsia="方正小标宋简体" w:cs="Calibri Light"/>
      <w:color w:val="000000"/>
      <w:sz w:val="32"/>
      <w:szCs w:val="32"/>
    </w:rPr>
  </w:style>
  <w:style w:type="character" w:customStyle="1" w:styleId="18">
    <w:name w:val="标题 1 Char"/>
    <w:link w:val="2"/>
    <w:qFormat/>
    <w:locked/>
    <w:uiPriority w:val="99"/>
    <w:rPr>
      <w:rFonts w:ascii="黑体" w:hAnsi="黑体" w:eastAsia="黑体" w:cs="黑体"/>
      <w:color w:val="000000"/>
      <w:kern w:val="44"/>
      <w:sz w:val="32"/>
      <w:szCs w:val="32"/>
    </w:rPr>
  </w:style>
  <w:style w:type="character" w:customStyle="1" w:styleId="19">
    <w:name w:val="日期 Char"/>
    <w:link w:val="5"/>
    <w:semiHidden/>
    <w:qFormat/>
    <w:uiPriority w:val="99"/>
    <w:rPr>
      <w:rFonts w:ascii="仿宋_GB2312" w:hAnsi="宋体" w:eastAsia="仿宋_GB2312" w:cs="仿宋_GB2312"/>
      <w:color w:val="000000"/>
      <w:kern w:val="2"/>
      <w:sz w:val="32"/>
      <w:szCs w:val="32"/>
    </w:rPr>
  </w:style>
  <w:style w:type="character" w:customStyle="1" w:styleId="20">
    <w:name w:val="页眉 Char"/>
    <w:link w:val="8"/>
    <w:qFormat/>
    <w:uiPriority w:val="99"/>
    <w:rPr>
      <w:rFonts w:ascii="仿宋_GB2312" w:hAnsi="宋体" w:eastAsia="仿宋_GB2312" w:cs="仿宋_GB2312"/>
      <w:color w:val="000000"/>
      <w:sz w:val="18"/>
      <w:szCs w:val="18"/>
    </w:rPr>
  </w:style>
  <w:style w:type="character" w:customStyle="1" w:styleId="21">
    <w:name w:val="注解 Char"/>
    <w:link w:val="22"/>
    <w:qFormat/>
    <w:locked/>
    <w:uiPriority w:val="99"/>
    <w:rPr>
      <w:rFonts w:ascii="宋体" w:hAnsi="宋体" w:eastAsia="楷体" w:cs="宋体"/>
      <w:color w:val="000000"/>
      <w:sz w:val="24"/>
      <w:szCs w:val="24"/>
    </w:rPr>
  </w:style>
  <w:style w:type="paragraph" w:customStyle="1" w:styleId="22">
    <w:name w:val="注解"/>
    <w:basedOn w:val="1"/>
    <w:link w:val="21"/>
    <w:qFormat/>
    <w:uiPriority w:val="99"/>
    <w:pPr>
      <w:spacing w:line="240" w:lineRule="auto"/>
      <w:ind w:firstLine="200"/>
    </w:pPr>
    <w:rPr>
      <w:rFonts w:ascii="宋体" w:eastAsia="楷体" w:cs="宋体"/>
      <w:sz w:val="28"/>
      <w:szCs w:val="28"/>
    </w:rPr>
  </w:style>
  <w:style w:type="character" w:customStyle="1" w:styleId="23">
    <w:name w:val="正文文本 Char"/>
    <w:link w:val="4"/>
    <w:qFormat/>
    <w:uiPriority w:val="0"/>
    <w:rPr>
      <w:rFonts w:eastAsia="文星仿宋"/>
      <w:kern w:val="2"/>
      <w:sz w:val="32"/>
      <w:szCs w:val="22"/>
    </w:rPr>
  </w:style>
  <w:style w:type="character" w:customStyle="1" w:styleId="24">
    <w:name w:val="批注框文本 Char"/>
    <w:link w:val="6"/>
    <w:semiHidden/>
    <w:qFormat/>
    <w:uiPriority w:val="99"/>
    <w:rPr>
      <w:rFonts w:ascii="仿宋_GB2312" w:hAnsi="宋体" w:eastAsia="仿宋_GB2312" w:cs="仿宋_GB2312"/>
      <w:color w:val="000000"/>
      <w:kern w:val="2"/>
      <w:sz w:val="18"/>
      <w:szCs w:val="18"/>
    </w:rPr>
  </w:style>
  <w:style w:type="paragraph" w:customStyle="1" w:styleId="25">
    <w:name w:val="TOC 标题1"/>
    <w:basedOn w:val="2"/>
    <w:next w:val="1"/>
    <w:qFormat/>
    <w:uiPriority w:val="99"/>
    <w:pPr>
      <w:widowControl/>
      <w:spacing w:line="276" w:lineRule="auto"/>
      <w:outlineLvl w:val="9"/>
    </w:pPr>
    <w:rPr>
      <w:rFonts w:ascii="Calibri Light" w:hAnsi="Calibri Light" w:eastAsia="宋体" w:cs="Calibri Light"/>
      <w:b/>
      <w:bCs/>
      <w:color w:val="2E74B5"/>
      <w:kern w:val="0"/>
      <w:sz w:val="28"/>
      <w:szCs w:val="28"/>
    </w:rPr>
  </w:style>
  <w:style w:type="paragraph" w:styleId="26">
    <w:name w:val="No Spacing"/>
    <w:qFormat/>
    <w:uiPriority w:val="99"/>
    <w:pPr>
      <w:widowControl w:val="0"/>
      <w:jc w:val="center"/>
    </w:pPr>
    <w:rPr>
      <w:rFonts w:ascii="宋体" w:hAnsi="宋体" w:eastAsia="仿宋_GB2312" w:cs="宋体"/>
      <w:b/>
      <w:bCs/>
      <w:color w:val="000000"/>
      <w:kern w:val="2"/>
      <w:sz w:val="32"/>
      <w:szCs w:val="32"/>
      <w:lang w:val="en-US" w:eastAsia="zh-CN" w:bidi="ar-SA"/>
    </w:rPr>
  </w:style>
  <w:style w:type="paragraph" w:styleId="27">
    <w:name w:val="List Paragraph"/>
    <w:basedOn w:val="1"/>
    <w:qFormat/>
    <w:uiPriority w:val="99"/>
    <w:pPr>
      <w:ind w:firstLine="420"/>
    </w:pPr>
  </w:style>
  <w:style w:type="paragraph" w:customStyle="1" w:styleId="28">
    <w:name w:val="Char Char Char Char Char Char Char"/>
    <w:basedOn w:val="1"/>
    <w:qFormat/>
    <w:uiPriority w:val="99"/>
    <w:pPr>
      <w:ind w:firstLine="0" w:firstLineChars="0"/>
    </w:pPr>
    <w:rPr>
      <w:rFonts w:ascii="Times New Roman" w:hAnsi="Times New Roman" w:eastAsia="宋体" w:cs="Times New Roman"/>
      <w:color w:val="auto"/>
      <w:sz w:val="21"/>
      <w:szCs w:val="21"/>
    </w:rPr>
  </w:style>
  <w:style w:type="paragraph" w:customStyle="1" w:styleId="29">
    <w:name w:val="默认段落字体 Para Char Char Char Char"/>
    <w:basedOn w:val="1"/>
    <w:qFormat/>
    <w:uiPriority w:val="0"/>
    <w:pPr>
      <w:ind w:firstLine="200"/>
    </w:pPr>
    <w:rPr>
      <w:rFonts w:ascii="Times New Roman" w:hAnsi="Times New Roman" w:eastAsia="宋体" w:cs="Times New Roman"/>
      <w:color w:val="auto"/>
      <w:sz w:val="21"/>
      <w:szCs w:val="24"/>
    </w:rPr>
  </w:style>
  <w:style w:type="paragraph" w:customStyle="1" w:styleId="30">
    <w:name w:val="表格"/>
    <w:basedOn w:val="1"/>
    <w:qFormat/>
    <w:uiPriority w:val="99"/>
    <w:pPr>
      <w:spacing w:line="240" w:lineRule="atLeast"/>
      <w:ind w:firstLine="0" w:firstLineChars="0"/>
      <w:jc w:val="center"/>
    </w:pPr>
    <w:rPr>
      <w:sz w:val="28"/>
      <w:szCs w:val="28"/>
    </w:rPr>
  </w:style>
  <w:style w:type="character" w:customStyle="1" w:styleId="31">
    <w:name w:val="font91"/>
    <w:qFormat/>
    <w:uiPriority w:val="99"/>
    <w:rPr>
      <w:rFonts w:ascii="仿宋_GB2312" w:eastAsia="仿宋_GB2312"/>
      <w:color w:val="000000"/>
      <w:sz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1638</Words>
  <Characters>9339</Characters>
  <Lines>77</Lines>
  <Paragraphs>21</Paragraphs>
  <TotalTime>95</TotalTime>
  <ScaleCrop>false</ScaleCrop>
  <LinksUpToDate>false</LinksUpToDate>
  <CharactersWithSpaces>10956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2020-04-03T14:33:00Z</dcterms:created>
  <dc:creator>DELL50</dc:creator>
  <cp:lastModifiedBy>港航局（政）</cp:lastModifiedBy>
  <cp:lastPrinted>2023-01-20T00:52:00Z</cp:lastPrinted>
  <dcterms:modified xsi:type="dcterms:W3CDTF">2023-06-16T13:49:45Z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