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420"/>
        <w:jc w:val="center"/>
        <w:rPr>
          <w:rFonts w:hint="default" w:ascii="Times New Roman" w:hAnsi="Times New Roman" w:cs="Times New Roman"/>
          <w:color w:val="FF0000"/>
          <w:w w:val="66"/>
          <w:kern w:val="15"/>
        </w:rPr>
      </w:pPr>
    </w:p>
    <w:p>
      <w:pPr>
        <w:spacing w:line="700" w:lineRule="exact"/>
        <w:ind w:firstLine="420"/>
        <w:jc w:val="center"/>
        <w:rPr>
          <w:rFonts w:hint="default" w:ascii="Times New Roman" w:hAnsi="Times New Roman" w:cs="Times New Roman"/>
          <w:color w:val="FF0000"/>
          <w:w w:val="66"/>
          <w:kern w:val="15"/>
        </w:rPr>
      </w:pPr>
    </w:p>
    <w:p>
      <w:pPr>
        <w:spacing w:line="700" w:lineRule="exact"/>
        <w:ind w:firstLine="420"/>
        <w:jc w:val="center"/>
        <w:rPr>
          <w:rFonts w:hint="default" w:ascii="Times New Roman" w:hAnsi="Times New Roman" w:cs="Times New Roman"/>
          <w:color w:val="FF0000"/>
          <w:w w:val="66"/>
          <w:kern w:val="15"/>
          <w:szCs w:val="21"/>
        </w:rPr>
      </w:pPr>
    </w:p>
    <w:p>
      <w:pPr>
        <w:spacing w:before="304" w:beforeLines="70" w:line="700" w:lineRule="exact"/>
        <w:ind w:firstLine="0" w:firstLineChars="0"/>
        <w:jc w:val="center"/>
        <w:rPr>
          <w:rFonts w:hint="default" w:ascii="Times New Roman" w:hAnsi="Times New Roman" w:cs="Times New Roman"/>
          <w:color w:val="FF0000"/>
          <w:w w:val="66"/>
          <w:kern w:val="15"/>
          <w:sz w:val="88"/>
          <w:szCs w:val="88"/>
        </w:rPr>
      </w:pPr>
      <w:r>
        <w:rPr>
          <w:rFonts w:hint="default" w:ascii="Times New Roman" w:hAnsi="Times New Roman" w:cs="Times New Roman"/>
          <w:color w:val="FF0000"/>
          <w:w w:val="66"/>
          <w:kern w:val="15"/>
          <w:sz w:val="88"/>
          <w:szCs w:val="88"/>
        </w:rPr>
        <w:t xml:space="preserve"> </w:t>
      </w:r>
    </w:p>
    <w:p>
      <w:pPr>
        <w:spacing w:line="700" w:lineRule="exact"/>
        <w:ind w:firstLine="640"/>
        <w:jc w:val="center"/>
        <w:rPr>
          <w:rFonts w:hint="default" w:ascii="Times New Roman" w:hAnsi="Times New Roman" w:cs="Times New Roman"/>
        </w:rPr>
      </w:pPr>
    </w:p>
    <w:p>
      <w:pPr>
        <w:spacing w:before="391" w:beforeLines="90" w:line="560" w:lineRule="exact"/>
        <w:ind w:firstLine="0" w:firstLineChars="0"/>
        <w:jc w:val="center"/>
        <w:rPr>
          <w:rFonts w:hint="default" w:ascii="Times New Roman" w:hAnsi="Times New Roman" w:cs="Times New Roman"/>
        </w:rPr>
      </w:pPr>
      <w:r>
        <w:rPr>
          <w:rFonts w:hint="eastAsia" w:ascii="Times New Roman" w:hAnsi="Times New Roman" w:cs="Times New Roman"/>
          <w:lang w:val="en-US" w:eastAsia="zh-CN"/>
        </w:rPr>
        <w:t xml:space="preserve"> </w:t>
      </w:r>
    </w:p>
    <w:p>
      <w:pPr>
        <w:spacing w:line="579" w:lineRule="exact"/>
        <w:ind w:firstLine="640"/>
        <w:jc w:val="center"/>
        <w:rPr>
          <w:rFonts w:hint="default" w:ascii="Times New Roman" w:hAnsi="Times New Roman" w:cs="Times New Roman"/>
        </w:rPr>
      </w:pPr>
    </w:p>
    <w:p>
      <w:pPr>
        <w:pStyle w:val="2"/>
        <w:keepNext/>
        <w:keepLines/>
        <w:pageBreakBefore w:val="0"/>
        <w:widowControl w:val="0"/>
        <w:kinsoku/>
        <w:wordWrap/>
        <w:overflowPunct/>
        <w:topLinePunct w:val="0"/>
        <w:autoSpaceDE/>
        <w:autoSpaceDN/>
        <w:bidi w:val="0"/>
        <w:adjustRightInd/>
        <w:snapToGrid/>
        <w:spacing w:before="0" w:after="0" w:line="66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天津市港航管理局关于公布天津市</w:t>
      </w:r>
      <w:r>
        <w:rPr>
          <w:rFonts w:hint="default" w:ascii="Times New Roman" w:hAnsi="Times New Roman" w:eastAsia="方正小标宋简体" w:cs="Times New Roman"/>
          <w:sz w:val="44"/>
          <w:szCs w:val="44"/>
        </w:rPr>
        <w:t>内河</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通航航道桥区水域范围</w:t>
      </w:r>
      <w:r>
        <w:rPr>
          <w:rFonts w:hint="default" w:ascii="Times New Roman" w:hAnsi="Times New Roman" w:eastAsia="方正小标宋简体" w:cs="Times New Roman"/>
          <w:sz w:val="44"/>
          <w:szCs w:val="44"/>
          <w:lang w:eastAsia="zh-CN"/>
        </w:rPr>
        <w:t>的通告</w:t>
      </w:r>
    </w:p>
    <w:p>
      <w:pPr>
        <w:spacing w:line="579" w:lineRule="exact"/>
        <w:ind w:firstLine="0" w:firstLineChars="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为规范我市桥区水域船舶航行秩序，保障我市内河水上交通安全，有效防范船舶碰撞桥梁事故发生，根据《中华人民共和国桥区水域水上交通安全管理办法》《交通运输部办公厅</w:t>
      </w:r>
      <w:r>
        <w:rPr>
          <w:rFonts w:hint="default" w:ascii="Times New Roman" w:hAnsi="Times New Roman" w:cs="Times New Roman"/>
          <w:sz w:val="32"/>
          <w:szCs w:val="32"/>
          <w:lang w:val="en" w:eastAsia="zh-CN"/>
        </w:rPr>
        <w:t xml:space="preserve"> </w:t>
      </w:r>
      <w:r>
        <w:rPr>
          <w:rFonts w:hint="default" w:ascii="Times New Roman" w:hAnsi="Times New Roman" w:eastAsia="仿宋_GB2312" w:cs="Times New Roman"/>
          <w:sz w:val="32"/>
          <w:szCs w:val="32"/>
          <w:lang w:eastAsia="zh-CN"/>
        </w:rPr>
        <w:t>国家铁路局综合司</w:t>
      </w:r>
      <w:r>
        <w:rPr>
          <w:rFonts w:hint="default" w:ascii="Times New Roman" w:hAnsi="Times New Roman" w:cs="Times New Roman"/>
          <w:sz w:val="32"/>
          <w:szCs w:val="32"/>
          <w:lang w:val="en" w:eastAsia="zh-CN"/>
        </w:rPr>
        <w:t xml:space="preserve"> </w:t>
      </w:r>
      <w:r>
        <w:rPr>
          <w:rFonts w:hint="default" w:ascii="Times New Roman" w:hAnsi="Times New Roman" w:eastAsia="仿宋_GB2312" w:cs="Times New Roman"/>
          <w:sz w:val="32"/>
          <w:szCs w:val="32"/>
          <w:lang w:eastAsia="zh-CN"/>
        </w:rPr>
        <w:t>国铁集团办公厅关于印发船舶碰撞桥梁隐患治理三年行动实施方案的通知》以及《跨航道桥梁桥区水域划定工作及技术指南》《内河通航标准》等行业标准规定，结合我市航道通航实际，现就子牙河、海河通航水域部分航道桥梁桥区水域范围进行划分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lang w:val="en-US" w:eastAsia="zh-CN"/>
        </w:rPr>
        <w:t>一、划</w:t>
      </w:r>
      <w:r>
        <w:rPr>
          <w:rFonts w:hint="default" w:ascii="Times New Roman" w:hAnsi="Times New Roman" w:eastAsia="黑体" w:cs="Times New Roman"/>
          <w:sz w:val="32"/>
          <w:szCs w:val="32"/>
          <w:highlight w:val="none"/>
          <w:lang w:val="en-US" w:eastAsia="zh-CN"/>
        </w:rPr>
        <w:t>定桥区水域范围的桥梁及所涉航道等级</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子牙河，津霸客运专线桥至金钢桥，Ⅵ级航道；</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海河，金</w:t>
      </w:r>
      <w:r>
        <w:rPr>
          <w:rFonts w:hint="default" w:ascii="Times New Roman" w:hAnsi="Times New Roman" w:eastAsia="仿宋_GB2312" w:cs="Times New Roman"/>
          <w:sz w:val="32"/>
          <w:szCs w:val="32"/>
          <w:highlight w:val="none"/>
          <w:lang w:val="en" w:eastAsia="zh-CN"/>
        </w:rPr>
        <w:t>钢</w:t>
      </w:r>
      <w:r>
        <w:rPr>
          <w:rFonts w:hint="default" w:ascii="Times New Roman" w:hAnsi="Times New Roman" w:eastAsia="仿宋_GB2312" w:cs="Times New Roman"/>
          <w:sz w:val="32"/>
          <w:szCs w:val="32"/>
          <w:highlight w:val="none"/>
          <w:lang w:val="en-US" w:eastAsia="zh-CN"/>
        </w:rPr>
        <w:t>桥至二道闸，Ⅵ级航道；</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highlight w:val="none"/>
          <w:lang w:val="en-US" w:eastAsia="zh-CN"/>
        </w:rPr>
        <w:t>海河，二道闸至轮驳公司码头，Ⅲ</w:t>
      </w:r>
      <w:r>
        <w:rPr>
          <w:rFonts w:hint="default" w:ascii="Times New Roman" w:hAnsi="Times New Roman" w:eastAsia="仿宋_GB2312" w:cs="Times New Roman"/>
          <w:sz w:val="32"/>
          <w:szCs w:val="32"/>
          <w:lang w:val="en-US" w:eastAsia="zh-CN"/>
        </w:rPr>
        <w:t>级航道；</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海河，轮驳公司码头至海河闸，</w:t>
      </w:r>
      <w:r>
        <w:rPr>
          <w:rFonts w:hint="default" w:ascii="Times New Roman" w:hAnsi="Times New Roman" w:eastAsia="仿宋_GB2312" w:cs="Times New Roman"/>
          <w:sz w:val="32"/>
          <w:szCs w:val="32"/>
          <w:highlight w:val="none"/>
          <w:lang w:val="en-US" w:eastAsia="zh-CN"/>
        </w:rPr>
        <w:t>Ⅰ</w:t>
      </w:r>
      <w:r>
        <w:rPr>
          <w:rFonts w:hint="default" w:ascii="Times New Roman" w:hAnsi="Times New Roman" w:eastAsia="仿宋_GB2312" w:cs="Times New Roman"/>
          <w:sz w:val="32"/>
          <w:szCs w:val="32"/>
          <w:lang w:val="en-US" w:eastAsia="zh-CN"/>
        </w:rPr>
        <w:t>级航道。</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highlight w:val="none"/>
          <w:lang w:val="en-US" w:eastAsia="zh-CN"/>
        </w:rPr>
        <w:t>桥区水域范围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（一）子牙河津霸客运专线桥至子牙河外环线，海河外环线至二道闸段航道，限制桥梁</w:t>
      </w:r>
      <w:r>
        <w:rPr>
          <w:rFonts w:hint="default" w:ascii="Times New Roman" w:hAnsi="Times New Roman" w:cs="Times New Roman"/>
          <w:sz w:val="32"/>
          <w:szCs w:val="32"/>
          <w:highlight w:val="none"/>
          <w:lang w:val="en-US" w:eastAsia="zh-CN"/>
        </w:rPr>
        <w:t>：</w:t>
      </w:r>
      <w:r>
        <w:rPr>
          <w:rFonts w:hint="eastAsia" w:ascii="Times New Roman" w:hAnsi="Times New Roman" w:cs="Times New Roman"/>
          <w:b w:val="0"/>
          <w:bCs w:val="0"/>
          <w:sz w:val="32"/>
          <w:szCs w:val="32"/>
          <w:highlight w:val="none"/>
          <w:lang w:val="en-US" w:eastAsia="zh-CN"/>
        </w:rPr>
        <w:t>桥梁</w:t>
      </w:r>
      <w:r>
        <w:rPr>
          <w:rFonts w:hint="default" w:ascii="Times New Roman" w:hAnsi="Times New Roman" w:eastAsia="仿宋_GB2312" w:cs="Times New Roman"/>
          <w:sz w:val="32"/>
          <w:szCs w:val="32"/>
          <w:highlight w:val="none"/>
          <w:lang w:val="en-US" w:eastAsia="zh-CN"/>
        </w:rPr>
        <w:t>上游128米至下游64米；非限制桥梁（一跨过河）</w:t>
      </w:r>
      <w:r>
        <w:rPr>
          <w:rFonts w:hint="default" w:ascii="Times New Roman" w:hAnsi="Times New Roman" w:cs="Times New Roman"/>
          <w:sz w:val="32"/>
          <w:szCs w:val="32"/>
          <w:highlight w:val="none"/>
          <w:lang w:val="en-US" w:eastAsia="zh-CN"/>
        </w:rPr>
        <w:t>：</w:t>
      </w:r>
      <w:r>
        <w:rPr>
          <w:rFonts w:hint="eastAsia" w:ascii="Times New Roman" w:hAnsi="Times New Roman" w:cs="Times New Roman"/>
          <w:b w:val="0"/>
          <w:bCs w:val="0"/>
          <w:sz w:val="32"/>
          <w:szCs w:val="32"/>
          <w:highlight w:val="none"/>
          <w:lang w:val="en-US" w:eastAsia="zh-CN"/>
        </w:rPr>
        <w:t>桥梁</w:t>
      </w:r>
      <w:r>
        <w:rPr>
          <w:rFonts w:hint="default" w:ascii="Times New Roman" w:hAnsi="Times New Roman" w:eastAsia="仿宋_GB2312" w:cs="Times New Roman"/>
          <w:sz w:val="32"/>
          <w:szCs w:val="32"/>
          <w:highlight w:val="none"/>
          <w:lang w:val="en-US" w:eastAsia="zh-CN"/>
        </w:rPr>
        <w:t>上游64米至下游32米。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highlight w:val="none"/>
          <w:lang w:val="en-US" w:eastAsia="zh-CN"/>
        </w:rPr>
        <w:t>（二）</w:t>
      </w:r>
      <w:r>
        <w:rPr>
          <w:rFonts w:hint="default" w:ascii="Times New Roman" w:hAnsi="Times New Roman" w:eastAsia="仿宋_GB2312" w:cs="Times New Roman"/>
          <w:sz w:val="32"/>
          <w:szCs w:val="32"/>
          <w:lang w:val="en-US" w:eastAsia="zh-CN"/>
        </w:rPr>
        <w:t>如果两座及以上桥梁距离小于公布水域范围时，两桥之间距离均为桥区水域，以最外围桥梁为基准按规定划定桥区水域。</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（三）中心城区通航水域（子牙河外环线至海河外环线）桥梁架设密集，选取现行通航总长最大客船为代表船型，划定</w:t>
      </w:r>
      <w:r>
        <w:rPr>
          <w:rFonts w:hint="eastAsia" w:ascii="Times New Roman" w:hAnsi="Times New Roman" w:cs="Times New Roman"/>
          <w:b w:val="0"/>
          <w:bCs w:val="0"/>
          <w:sz w:val="32"/>
          <w:szCs w:val="32"/>
          <w:highlight w:val="none"/>
          <w:lang w:val="en-US" w:eastAsia="zh-CN"/>
        </w:rPr>
        <w:t>桥梁</w:t>
      </w:r>
      <w:r>
        <w:rPr>
          <w:rFonts w:hint="default" w:ascii="Times New Roman" w:hAnsi="Times New Roman" w:eastAsia="仿宋_GB2312" w:cs="Times New Roman"/>
          <w:sz w:val="32"/>
          <w:szCs w:val="32"/>
          <w:lang w:val="en-US" w:eastAsia="zh-CN"/>
        </w:rPr>
        <w:t>上下游各40米；对于狮子林桥、北安桥、赤峰桥等航道弯曲处，划定</w:t>
      </w:r>
      <w:r>
        <w:rPr>
          <w:rFonts w:hint="eastAsia" w:ascii="Times New Roman" w:hAnsi="Times New Roman" w:cs="Times New Roman"/>
          <w:b w:val="0"/>
          <w:bCs w:val="0"/>
          <w:sz w:val="32"/>
          <w:szCs w:val="32"/>
          <w:highlight w:val="none"/>
          <w:lang w:val="en-US" w:eastAsia="zh-CN"/>
        </w:rPr>
        <w:t>桥梁</w:t>
      </w:r>
      <w:r>
        <w:rPr>
          <w:rFonts w:hint="default" w:ascii="Times New Roman" w:hAnsi="Times New Roman" w:eastAsia="仿宋_GB2312" w:cs="Times New Roman"/>
          <w:sz w:val="32"/>
          <w:szCs w:val="32"/>
          <w:lang w:val="en-US" w:eastAsia="zh-CN"/>
        </w:rPr>
        <w:t>为上下游各80米。</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 w:eastAsia="zh-CN"/>
        </w:rPr>
        <w:t xml:space="preserve">    </w:t>
      </w:r>
      <w:r>
        <w:rPr>
          <w:rFonts w:hint="default" w:ascii="Times New Roman" w:hAnsi="Times New Roman" w:eastAsia="仿宋_GB2312" w:cs="Times New Roman"/>
          <w:sz w:val="32"/>
          <w:szCs w:val="32"/>
          <w:lang w:val="en-US" w:eastAsia="zh-CN"/>
        </w:rPr>
        <w:t>（四）按照《天津市港航管理局关于调整海河下游河段航道技术等级的公告》内容，海河下游二道闸至轮驳公司码头段由</w:t>
      </w:r>
      <w:r>
        <w:rPr>
          <w:rFonts w:hint="default" w:ascii="Times New Roman" w:hAnsi="Times New Roman" w:eastAsia="仿宋_GB2312" w:cs="Times New Roman"/>
          <w:sz w:val="32"/>
          <w:szCs w:val="32"/>
          <w:highlight w:val="none"/>
          <w:lang w:val="en-US" w:eastAsia="zh-CN"/>
        </w:rPr>
        <w:t>Ⅰ</w:t>
      </w:r>
      <w:r>
        <w:rPr>
          <w:rFonts w:hint="default" w:ascii="Times New Roman" w:hAnsi="Times New Roman" w:eastAsia="仿宋_GB2312" w:cs="Times New Roman"/>
          <w:sz w:val="32"/>
          <w:szCs w:val="32"/>
          <w:lang w:val="en-US" w:eastAsia="zh-CN"/>
        </w:rPr>
        <w:t>级航道（通航3000</w:t>
      </w:r>
      <w:r>
        <w:rPr>
          <w:rFonts w:hint="default" w:ascii="Times New Roman" w:hAnsi="Times New Roman" w:eastAsia="仿宋" w:cs="Times New Roman"/>
          <w:sz w:val="32"/>
          <w:szCs w:val="32"/>
          <w:lang w:val="en-US" w:eastAsia="zh-CN"/>
        </w:rPr>
        <w:t>～</w:t>
      </w:r>
      <w:r>
        <w:rPr>
          <w:rFonts w:hint="default" w:ascii="Times New Roman" w:hAnsi="Times New Roman" w:eastAsia="仿宋_GB2312" w:cs="Times New Roman"/>
          <w:sz w:val="32"/>
          <w:szCs w:val="32"/>
          <w:lang w:val="en-US" w:eastAsia="zh-CN"/>
        </w:rPr>
        <w:t>5000吨级海轮）调整为</w:t>
      </w:r>
      <w:r>
        <w:rPr>
          <w:rFonts w:hint="default" w:ascii="Times New Roman" w:hAnsi="Times New Roman" w:eastAsia="仿宋_GB2312" w:cs="Times New Roman"/>
          <w:sz w:val="32"/>
          <w:szCs w:val="32"/>
          <w:highlight w:val="none"/>
          <w:lang w:val="en-US" w:eastAsia="zh-CN"/>
        </w:rPr>
        <w:t>Ⅲ</w:t>
      </w:r>
      <w:r>
        <w:rPr>
          <w:rFonts w:hint="default" w:ascii="Times New Roman" w:hAnsi="Times New Roman" w:eastAsia="仿宋_GB2312" w:cs="Times New Roman"/>
          <w:sz w:val="32"/>
          <w:szCs w:val="32"/>
          <w:lang w:val="en-US" w:eastAsia="zh-CN"/>
        </w:rPr>
        <w:t>级航道（通航1000吨级船舶），</w:t>
      </w:r>
      <w:r>
        <w:rPr>
          <w:rFonts w:hint="default" w:ascii="Times New Roman" w:hAnsi="Times New Roman" w:eastAsia="仿宋_GB2312" w:cs="Times New Roman"/>
          <w:strike w:val="0"/>
          <w:dstrike w:val="0"/>
          <w:sz w:val="32"/>
          <w:szCs w:val="32"/>
          <w:highlight w:val="none"/>
          <w:lang w:val="en-US" w:eastAsia="zh-CN"/>
        </w:rPr>
        <w:t>海河下游航道桥区水域范围按照实际代表船型划定。海河下游二道闸至轮驳公司码头段,限制桥梁</w:t>
      </w:r>
      <w:r>
        <w:rPr>
          <w:rFonts w:hint="default" w:ascii="Times New Roman" w:hAnsi="Times New Roman" w:cs="Times New Roman"/>
          <w:strike w:val="0"/>
          <w:dstrike w:val="0"/>
          <w:sz w:val="32"/>
          <w:szCs w:val="32"/>
          <w:highlight w:val="none"/>
          <w:lang w:val="en-US" w:eastAsia="zh-CN"/>
        </w:rPr>
        <w:t>：</w:t>
      </w:r>
      <w:r>
        <w:rPr>
          <w:rFonts w:hint="eastAsia" w:ascii="Times New Roman" w:hAnsi="Times New Roman" w:cs="Times New Roman"/>
          <w:b w:val="0"/>
          <w:bCs w:val="0"/>
          <w:sz w:val="32"/>
          <w:szCs w:val="32"/>
          <w:highlight w:val="none"/>
          <w:lang w:val="en-US" w:eastAsia="zh-CN"/>
        </w:rPr>
        <w:t>桥梁</w:t>
      </w:r>
      <w:r>
        <w:rPr>
          <w:rFonts w:hint="default" w:ascii="Times New Roman" w:hAnsi="Times New Roman" w:eastAsia="仿宋_GB2312" w:cs="Times New Roman"/>
          <w:strike w:val="0"/>
          <w:dstrike w:val="0"/>
          <w:sz w:val="32"/>
          <w:szCs w:val="32"/>
          <w:highlight w:val="none"/>
          <w:lang w:val="en-US" w:eastAsia="zh-CN"/>
        </w:rPr>
        <w:t>上游388米至下游194米;非限制桥梁（一跨过河）</w:t>
      </w:r>
      <w:r>
        <w:rPr>
          <w:rFonts w:hint="default" w:ascii="Times New Roman" w:hAnsi="Times New Roman" w:cs="Times New Roman"/>
          <w:strike w:val="0"/>
          <w:dstrike w:val="0"/>
          <w:sz w:val="32"/>
          <w:szCs w:val="32"/>
          <w:highlight w:val="none"/>
          <w:lang w:val="en-US" w:eastAsia="zh-CN"/>
        </w:rPr>
        <w:t>：</w:t>
      </w:r>
      <w:r>
        <w:rPr>
          <w:rFonts w:hint="eastAsia" w:ascii="Times New Roman" w:hAnsi="Times New Roman" w:cs="Times New Roman"/>
          <w:b w:val="0"/>
          <w:bCs w:val="0"/>
          <w:sz w:val="32"/>
          <w:szCs w:val="32"/>
          <w:highlight w:val="none"/>
          <w:lang w:val="en-US" w:eastAsia="zh-CN"/>
        </w:rPr>
        <w:t>桥梁</w:t>
      </w:r>
      <w:r>
        <w:rPr>
          <w:rFonts w:hint="default" w:ascii="Times New Roman" w:hAnsi="Times New Roman" w:eastAsia="仿宋_GB2312" w:cs="Times New Roman"/>
          <w:strike w:val="0"/>
          <w:dstrike w:val="0"/>
          <w:sz w:val="32"/>
          <w:szCs w:val="32"/>
          <w:highlight w:val="none"/>
          <w:lang w:val="en-US" w:eastAsia="zh-CN"/>
        </w:rPr>
        <w:t>上游194米至下游97米；海河轮驳公司码头至海河闸段航道按照5000吨级代表船型划定，限制桥梁</w:t>
      </w:r>
      <w:r>
        <w:rPr>
          <w:rFonts w:hint="default" w:ascii="Times New Roman" w:hAnsi="Times New Roman" w:cs="Times New Roman"/>
          <w:strike w:val="0"/>
          <w:dstrike w:val="0"/>
          <w:sz w:val="32"/>
          <w:szCs w:val="32"/>
          <w:highlight w:val="none"/>
          <w:lang w:val="en-US" w:eastAsia="zh-CN"/>
        </w:rPr>
        <w:t>：</w:t>
      </w:r>
      <w:r>
        <w:rPr>
          <w:rFonts w:hint="eastAsia" w:ascii="Times New Roman" w:hAnsi="Times New Roman" w:cs="Times New Roman"/>
          <w:b w:val="0"/>
          <w:bCs w:val="0"/>
          <w:sz w:val="32"/>
          <w:szCs w:val="32"/>
          <w:highlight w:val="none"/>
          <w:lang w:val="en-US" w:eastAsia="zh-CN"/>
        </w:rPr>
        <w:t>桥梁</w:t>
      </w:r>
      <w:r>
        <w:rPr>
          <w:rFonts w:hint="default" w:ascii="Times New Roman" w:hAnsi="Times New Roman" w:eastAsia="仿宋_GB2312" w:cs="Times New Roman"/>
          <w:strike w:val="0"/>
          <w:dstrike w:val="0"/>
          <w:sz w:val="32"/>
          <w:szCs w:val="32"/>
          <w:highlight w:val="none"/>
          <w:lang w:val="en-US" w:eastAsia="zh-CN"/>
        </w:rPr>
        <w:t>上游500米至下游250米;非限制桥梁</w:t>
      </w:r>
      <w:r>
        <w:rPr>
          <w:rFonts w:hint="default" w:ascii="Times New Roman" w:hAnsi="Times New Roman" w:cs="Times New Roman"/>
          <w:strike w:val="0"/>
          <w:dstrike w:val="0"/>
          <w:sz w:val="32"/>
          <w:szCs w:val="32"/>
          <w:highlight w:val="none"/>
          <w:lang w:val="en-US" w:eastAsia="zh-CN"/>
        </w:rPr>
        <w:t>：</w:t>
      </w:r>
      <w:r>
        <w:rPr>
          <w:rFonts w:hint="eastAsia" w:ascii="Times New Roman" w:hAnsi="Times New Roman" w:cs="Times New Roman"/>
          <w:b w:val="0"/>
          <w:bCs w:val="0"/>
          <w:sz w:val="32"/>
          <w:szCs w:val="32"/>
          <w:highlight w:val="none"/>
          <w:lang w:val="en-US" w:eastAsia="zh-CN"/>
        </w:rPr>
        <w:t>桥梁</w:t>
      </w:r>
      <w:r>
        <w:rPr>
          <w:rFonts w:hint="default" w:ascii="Times New Roman" w:hAnsi="Times New Roman" w:eastAsia="仿宋_GB2312" w:cs="Times New Roman"/>
          <w:strike w:val="0"/>
          <w:dstrike w:val="0"/>
          <w:sz w:val="32"/>
          <w:szCs w:val="32"/>
          <w:highlight w:val="none"/>
          <w:lang w:val="en-US" w:eastAsia="zh-CN"/>
        </w:rPr>
        <w:t>上游250米至下游125米。</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五）桥区水域范围根据航道等级调整、代表船型变化、有关法律法规等新要求实行动态调整，并由桥梁所跨航道交通运输主管部门公布，报备市港航局。桥梁跨越航道涉及两个及以上行政区域的，由所涉及相关交通运输管理部门共同研究提出意见报市港航局统一发布。</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（六）对暂不通航的航道，待通航后另行划定通告。</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三、有关要求</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（一）船舶进入桥区水域前，应对船舶舵、锚、主辅机、航行信号、导助航设备、船队系缆及拖带设备等进行严格检查，保持船舶处于良好的技术状态，具备良好的操纵性能和控制能力。</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（二）船舶通过桥区水域，应严格遵守有关航行规定，严禁出现淌航、掉头、横越、违规追越、超高航行等违法行为。</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除紧急情况外，船舶不得在桥区水域内锚泊。因紧急情况在桥区水域内锚泊时，应当立即向航道所辖海事管理机构报告，采取有效措施并尽快驶离桥区水域。</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 xml:space="preserve">    （三）</w:t>
      </w:r>
      <w:r>
        <w:rPr>
          <w:rFonts w:hint="default" w:ascii="Times New Roman" w:hAnsi="Times New Roman" w:eastAsia="仿宋_GB2312" w:cs="Times New Roman"/>
          <w:sz w:val="32"/>
          <w:szCs w:val="32"/>
          <w:lang w:val="en-US" w:eastAsia="zh-CN"/>
        </w:rPr>
        <w:t>旅游船舶因航线规划或码头设置确需在桥区水域掉头、停靠码头等的，船舶所有人、经营人应加强日常安全管理，强化船员瞭望、避碰等技能掌握，熟悉桥梁桥孔净空净高数据尺寸，保障船舶通导设备信号正常，确保水上交通安全，并将相关情况</w:t>
      </w:r>
      <w:r>
        <w:rPr>
          <w:rFonts w:hint="eastAsia" w:ascii="Times New Roman" w:hAnsi="Times New Roman" w:cs="Times New Roman"/>
          <w:sz w:val="32"/>
          <w:szCs w:val="32"/>
          <w:lang w:val="en-US" w:eastAsia="zh-CN"/>
        </w:rPr>
        <w:t>报告</w:t>
      </w:r>
      <w:r>
        <w:rPr>
          <w:rFonts w:hint="default" w:ascii="Times New Roman" w:hAnsi="Times New Roman" w:cs="Times New Roman"/>
          <w:sz w:val="32"/>
          <w:szCs w:val="32"/>
          <w:lang w:val="en-US" w:eastAsia="zh-CN"/>
        </w:rPr>
        <w:t>所辖</w:t>
      </w:r>
      <w:r>
        <w:rPr>
          <w:rFonts w:hint="default" w:ascii="Times New Roman" w:hAnsi="Times New Roman" w:eastAsia="仿宋_GB2312" w:cs="Times New Roman"/>
          <w:sz w:val="32"/>
          <w:szCs w:val="32"/>
          <w:lang w:val="en-US" w:eastAsia="zh-CN"/>
        </w:rPr>
        <w:t>海事管理机构。</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 xml:space="preserve">    本文件自2022年6月1日实施，有效期5年。</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rPr>
          <w:rFonts w:hint="default" w:ascii="Times New Roman" w:hAnsi="Times New Roman" w:cs="Times New Roman"/>
          <w:sz w:val="32"/>
          <w:szCs w:val="32"/>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rPr>
          <w:rFonts w:hint="default" w:ascii="Times New Roman" w:hAnsi="Times New Roman" w:cs="Times New Roman"/>
          <w:sz w:val="32"/>
          <w:szCs w:val="32"/>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rPr>
          <w:rFonts w:hint="default" w:ascii="Times New Roman" w:hAnsi="Times New Roman" w:cs="Times New Roman"/>
          <w:sz w:val="32"/>
          <w:szCs w:val="32"/>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lang w:val="en"/>
        </w:rPr>
      </w:pPr>
      <w:r>
        <w:rPr>
          <w:rFonts w:hint="default" w:ascii="Times New Roman" w:hAnsi="Times New Roman" w:cs="Times New Roman"/>
          <w:sz w:val="32"/>
          <w:szCs w:val="32"/>
          <w:lang w:val="en" w:eastAsia="zh-CN"/>
        </w:rPr>
        <w:t xml:space="preserve">                                2022年4月28日</w:t>
      </w:r>
    </w:p>
    <w:p>
      <w:pPr>
        <w:spacing w:line="579" w:lineRule="exact"/>
        <w:ind w:firstLine="640"/>
        <w:rPr>
          <w:rFonts w:hint="eastAsia" w:ascii="Times New Roman" w:hAnsi="Times New Roman" w:eastAsia="仿宋_GB2312" w:cs="Times New Roman"/>
          <w:lang w:eastAsia="zh-CN"/>
        </w:rPr>
      </w:pPr>
      <w:r>
        <w:rPr>
          <w:rFonts w:hint="eastAsia" w:ascii="Times New Roman" w:hAnsi="Times New Roman" w:cs="Times New Roman"/>
          <w:lang w:val="en-US" w:eastAsia="zh-CN"/>
        </w:rPr>
        <w:t xml:space="preserve">                            </w:t>
      </w:r>
      <w:r>
        <w:rPr>
          <w:rFonts w:hint="eastAsia" w:ascii="Times New Roman" w:hAnsi="Times New Roman" w:cs="Times New Roman"/>
          <w:lang w:eastAsia="zh-CN"/>
        </w:rPr>
        <w:t>天津市港航管理局</w:t>
      </w:r>
    </w:p>
    <w:p>
      <w:pPr>
        <w:spacing w:line="579" w:lineRule="exact"/>
        <w:ind w:firstLine="640"/>
        <w:rPr>
          <w:rFonts w:hint="default" w:ascii="Times New Roman" w:hAnsi="Times New Roman" w:cs="Times New Roman"/>
        </w:rPr>
      </w:pPr>
    </w:p>
    <w:p>
      <w:pPr>
        <w:spacing w:line="579" w:lineRule="exact"/>
        <w:ind w:firstLine="640"/>
        <w:rPr>
          <w:rFonts w:hint="default" w:ascii="Times New Roman" w:hAnsi="Times New Roman" w:cs="Times New Roman"/>
        </w:rPr>
      </w:pPr>
    </w:p>
    <w:p>
      <w:pPr>
        <w:spacing w:line="579" w:lineRule="exact"/>
        <w:ind w:firstLine="640"/>
        <w:rPr>
          <w:rFonts w:hint="default" w:ascii="Times New Roman" w:hAnsi="Times New Roman" w:cs="Times New Roman"/>
        </w:rPr>
      </w:pPr>
    </w:p>
    <w:p>
      <w:pPr>
        <w:spacing w:line="579" w:lineRule="exact"/>
        <w:ind w:firstLine="640"/>
        <w:rPr>
          <w:rFonts w:hint="default" w:ascii="Times New Roman" w:hAnsi="Times New Roman" w:cs="Times New Roman"/>
        </w:rPr>
      </w:pPr>
      <w:r>
        <w:rPr>
          <w:rFonts w:hint="default" w:ascii="Times New Roman" w:hAnsi="Times New Roman" w:cs="Times New Roman"/>
        </w:rPr>
        <w:t xml:space="preserve">          </w:t>
      </w:r>
    </w:p>
    <w:p>
      <w:pPr>
        <w:spacing w:line="579" w:lineRule="exact"/>
        <w:ind w:firstLine="640"/>
        <w:rPr>
          <w:rFonts w:hint="default" w:ascii="Times New Roman" w:hAnsi="Times New Roman" w:cs="Times New Roman"/>
        </w:rPr>
      </w:pPr>
    </w:p>
    <w:p>
      <w:pPr>
        <w:spacing w:line="579" w:lineRule="exact"/>
        <w:ind w:firstLine="640"/>
        <w:rPr>
          <w:rFonts w:hint="default" w:ascii="Times New Roman" w:hAnsi="Times New Roman" w:cs="Times New Roman"/>
        </w:rPr>
      </w:pPr>
    </w:p>
    <w:p>
      <w:pPr>
        <w:spacing w:line="579" w:lineRule="exact"/>
        <w:ind w:firstLine="640"/>
        <w:rPr>
          <w:rFonts w:hint="default" w:ascii="Times New Roman" w:hAnsi="Times New Roman" w:cs="Times New Roman"/>
        </w:rPr>
      </w:pPr>
    </w:p>
    <w:p>
      <w:pPr>
        <w:spacing w:line="579" w:lineRule="exact"/>
        <w:ind w:firstLine="640"/>
        <w:rPr>
          <w:rFonts w:hint="default" w:ascii="Times New Roman" w:hAnsi="Times New Roman" w:cs="Times New Roman"/>
        </w:rPr>
      </w:pPr>
    </w:p>
    <w:p>
      <w:pPr>
        <w:spacing w:line="579" w:lineRule="exact"/>
        <w:ind w:firstLine="640"/>
        <w:rPr>
          <w:rFonts w:hint="default" w:ascii="Times New Roman" w:hAnsi="Times New Roman" w:cs="Times New Roman"/>
        </w:rPr>
      </w:pPr>
    </w:p>
    <w:p>
      <w:pPr>
        <w:spacing w:line="579" w:lineRule="exact"/>
        <w:ind w:firstLine="640"/>
        <w:rPr>
          <w:rFonts w:hint="default" w:ascii="Times New Roman" w:hAnsi="Times New Roman" w:cs="Times New Roman"/>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588" w:gutter="0"/>
      <w:pgNumType w:fmt="numberInDash"/>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文星仿宋">
    <w:altName w:val="方正仿宋_GBK"/>
    <w:panose1 w:val="00000000000000000000"/>
    <w:charset w:val="86"/>
    <w:family w:val="auto"/>
    <w:pitch w:val="default"/>
    <w:sig w:usb0="00000000" w:usb1="00000000" w:usb2="00000010" w:usb3="00000000" w:csb0="00040001" w:csb1="00000000"/>
  </w:font>
  <w:font w:name="Calibri Light">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80" w:firstLine="0" w:firstLineChars="0"/>
      <w:jc w:val="right"/>
      <w:rPr>
        <w:rFonts w:asci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5062855</wp:posOffset>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firstLine="0" w:firstLineChars="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398.65pt;margin-top:0pt;height:144pt;width:144pt;mso-position-horizontal-relative:margin;mso-wrap-style:none;z-index:251660288;mso-width-relative:page;mso-height-relative:page;" filled="f" stroked="f" coordsize="21600,21600" o:gfxdata="UEsFBgAAAAAAAAAAAAAAAAAAAAAAAFBLAwQKAAAAAACHTuJAAAAAAAAAAAAAAAAABAAAAGRycy9Q&#10;SwMEFAAAAAgAh07iQB6RPIHVAAAACQEAAA8AAABkcnMvZG93bnJldi54bWxNj8FOwzAQRO9I/IO1&#10;SNyo3RZoCHEqURGOSDQcOLrJkgTsdWS7afh7tic4jmY086bYzs6KCUMcPGlYLhQIpMa3A3Ua3uvq&#10;JgMRk6HWWE+o4QcjbMvLi8LkrT/RG0771AkuoZgbDX1KYy5lbHp0Ji78iMTepw/OJJahk20wJy53&#10;Vq6UupfODMQLvRlx12PzvT86DbuqrsOEMdgPfKnWX69Pt/g8a319tVSPIBLO6S8MZ3xGh5KZDv5I&#10;bRRWw+Zhs+aoBn50tlV2x/qgYZVlCmRZyP8Pyl9QSwMEFAAAAAgAh07iQCdbGs4VAgAAGQQAAA4A&#10;AABkcnMvZTJvRG9jLnhtbK1Ty47TMBTdI/EPlvc0aVFHVdV0VGZUhFQxIxXE2nWcJpJfst0m5QPg&#10;D1ixYc939Tvm2E06CFghNs65vjf3ce7x4rZTkhyF843RBR2PckqE5qZs9L6gHz+sX80o8YHpkkmj&#10;RUFPwtPb5csXi9bOxcTURpbCESTRft7agtYh2HmWeV4LxfzIWKHhrIxTLMB0+6x0rEV2JbNJnt9k&#10;rXGldYYL73F7f3HSZcpfVYKHh6ryIhBZUPQW0unSuYtntlyw+d4xWze8b4P9QxeKNRpFr6nuWWDk&#10;4Jo/UqmGO+NNFUbcqMxUVcNFmgHTjPPfptnWzIo0C8jx9kqT/39p+fvjoyNNWdApJZoprOj87ev5&#10;+8/zjy9kGulprZ8jamsRF7o3pitocAcxuDzu4+Bd5VT8YiSCEHB9uvIrukA4LsezyWyWw8XhGwyU&#10;yJ5/t86Ht8IoEkFBHRaYeGXHjQ+X0CEkVtNm3UiZlig1aQt683qapx+uHiSXGjXiHJdmIwrdruuH&#10;25nyhNmcuYjDW75uUHzDfHhkDmpAw1B4eMBRSYMipkeU1MZ9/tt9jMeS4KWkhboKqiF/SuQ7jeVF&#10;IQ7ADWA3AH1QdwZyHePlWJ4gfnBBDrByRn2C7FexRsWkR2KmOaphNQO8C7B6J54PF6vV1Yb0LAsb&#10;vbW8X2bk0tvVIYDPRHPk6EJMTx30lxbVv5Uo8F/tFPX8opd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HpE8gdUAAAAJAQAADwAAAAAAAAABACAAAAA4AAAAZHJzL2Rvd25yZXYueG1sUEsBAhQAFAAA&#10;AAgAh07iQCdbGs4VAgAAGQQAAA4AAAAAAAAAAQAgAAAAOgEAAGRycy9lMm9Eb2MueG1sUEsFBgAA&#10;AAAGAAYAWQEAAMEFAAAAAA==&#10;">
              <v:fill on="f" focussize="0,0"/>
              <v:stroke on="f" weight="0.5pt"/>
              <v:imagedata o:title=""/>
              <o:lock v:ext="edit" aspectratio="f"/>
              <v:textbox inset="0mm,0mm,0mm,0mm" style="mso-fit-shape-to-text:t;">
                <w:txbxContent>
                  <w:p>
                    <w:pPr>
                      <w:pStyle w:val="8"/>
                      <w:ind w:firstLine="0" w:firstLineChars="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- 13 -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0" w:firstLineChars="0"/>
      <w:rPr>
        <w:sz w:val="28"/>
        <w:szCs w:val="28"/>
      </w:rPr>
    </w:pPr>
    <w:r>
      <w:rPr>
        <w:rFonts w:hint="default" w:ascii="宋体" w:eastAsia="宋体"/>
        <w:sz w:val="28"/>
        <w:szCs w:val="28"/>
        <w:lang w:val="e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w:t>
    </w:r>
    <w:r>
      <w:rPr>
        <w:rFonts w:hint="eastAsia" w:asciiTheme="minorEastAsia" w:hAnsiTheme="minorEastAsia" w:eastAsiaTheme="minorEastAsia" w:cstheme="minorEastAsia"/>
        <w:sz w:val="28"/>
        <w:szCs w:val="28"/>
      </w:rPr>
      <w:t xml:space="preserve"> 12 -</w:t>
    </w:r>
    <w:r>
      <w:rPr>
        <w:rFonts w:hint="eastAsia" w:asciiTheme="minorEastAsia" w:hAnsiTheme="minorEastAsia" w:eastAsiaTheme="minorEastAsia" w:cstheme="minorEastAsia"/>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4"/>
  <w:bordersDoNotSurroundHeader w:val="false"/>
  <w:bordersDoNotSurroundFooter w:val="false"/>
  <w:documentProtection w:enforcement="0"/>
  <w:defaultTabStop w:val="420"/>
  <w:doNotHyphenateCaps/>
  <w:evenAndOddHeaders w:val="true"/>
  <w:drawingGridHorizontalSpacing w:val="160"/>
  <w:drawingGridVerticalSpacing w:val="435"/>
  <w:displayHorizontalDrawingGridEvery w:val="1"/>
  <w:displayVerticalDrawingGridEvery w:val="1"/>
  <w:noPunctuationKerning w:val="true"/>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45"/>
    <w:rsid w:val="000077DD"/>
    <w:rsid w:val="0001473B"/>
    <w:rsid w:val="000153A5"/>
    <w:rsid w:val="00021A20"/>
    <w:rsid w:val="000311EE"/>
    <w:rsid w:val="00031B9F"/>
    <w:rsid w:val="00033417"/>
    <w:rsid w:val="000341EE"/>
    <w:rsid w:val="00042E67"/>
    <w:rsid w:val="00045D5E"/>
    <w:rsid w:val="00050D09"/>
    <w:rsid w:val="000571F8"/>
    <w:rsid w:val="000643DD"/>
    <w:rsid w:val="000717AA"/>
    <w:rsid w:val="000727A0"/>
    <w:rsid w:val="00080337"/>
    <w:rsid w:val="00081379"/>
    <w:rsid w:val="00083861"/>
    <w:rsid w:val="00085592"/>
    <w:rsid w:val="00085FBA"/>
    <w:rsid w:val="00091589"/>
    <w:rsid w:val="00093AFF"/>
    <w:rsid w:val="000953F9"/>
    <w:rsid w:val="000A127E"/>
    <w:rsid w:val="000A4999"/>
    <w:rsid w:val="000A5A70"/>
    <w:rsid w:val="000A6702"/>
    <w:rsid w:val="000B1AA6"/>
    <w:rsid w:val="000B3077"/>
    <w:rsid w:val="000B55F6"/>
    <w:rsid w:val="000C66B3"/>
    <w:rsid w:val="000D1DED"/>
    <w:rsid w:val="000D63D1"/>
    <w:rsid w:val="000E147D"/>
    <w:rsid w:val="000E7B3E"/>
    <w:rsid w:val="000F0CCB"/>
    <w:rsid w:val="000F2DC3"/>
    <w:rsid w:val="000F426D"/>
    <w:rsid w:val="000F5D53"/>
    <w:rsid w:val="000F7535"/>
    <w:rsid w:val="000F75B9"/>
    <w:rsid w:val="00101629"/>
    <w:rsid w:val="0010283A"/>
    <w:rsid w:val="00103065"/>
    <w:rsid w:val="00112719"/>
    <w:rsid w:val="0011432F"/>
    <w:rsid w:val="00116A5D"/>
    <w:rsid w:val="00116B7A"/>
    <w:rsid w:val="00117AEC"/>
    <w:rsid w:val="001254A0"/>
    <w:rsid w:val="00126873"/>
    <w:rsid w:val="0013623A"/>
    <w:rsid w:val="00141C05"/>
    <w:rsid w:val="00142D18"/>
    <w:rsid w:val="00147F04"/>
    <w:rsid w:val="00161920"/>
    <w:rsid w:val="00163DAF"/>
    <w:rsid w:val="00164142"/>
    <w:rsid w:val="00164B57"/>
    <w:rsid w:val="001667D6"/>
    <w:rsid w:val="00183024"/>
    <w:rsid w:val="00187DCF"/>
    <w:rsid w:val="001A21C5"/>
    <w:rsid w:val="001A7403"/>
    <w:rsid w:val="001D4845"/>
    <w:rsid w:val="001D5F02"/>
    <w:rsid w:val="001D7580"/>
    <w:rsid w:val="001E01E5"/>
    <w:rsid w:val="001E289A"/>
    <w:rsid w:val="001F1457"/>
    <w:rsid w:val="001F6815"/>
    <w:rsid w:val="001F6FB1"/>
    <w:rsid w:val="001F7E68"/>
    <w:rsid w:val="0020198A"/>
    <w:rsid w:val="00210345"/>
    <w:rsid w:val="002154FE"/>
    <w:rsid w:val="0021703A"/>
    <w:rsid w:val="0022099F"/>
    <w:rsid w:val="00227CF7"/>
    <w:rsid w:val="00244A6B"/>
    <w:rsid w:val="00244AA7"/>
    <w:rsid w:val="002513A8"/>
    <w:rsid w:val="00254CD6"/>
    <w:rsid w:val="00255E1E"/>
    <w:rsid w:val="002666F1"/>
    <w:rsid w:val="0027092F"/>
    <w:rsid w:val="0027299B"/>
    <w:rsid w:val="00287C07"/>
    <w:rsid w:val="00292DC2"/>
    <w:rsid w:val="002C38A4"/>
    <w:rsid w:val="002C7BDC"/>
    <w:rsid w:val="002D171F"/>
    <w:rsid w:val="002D1AD2"/>
    <w:rsid w:val="002D1D75"/>
    <w:rsid w:val="002E6BD1"/>
    <w:rsid w:val="002F4E24"/>
    <w:rsid w:val="002F4F30"/>
    <w:rsid w:val="00300E91"/>
    <w:rsid w:val="00301B3D"/>
    <w:rsid w:val="003028C7"/>
    <w:rsid w:val="00305DE9"/>
    <w:rsid w:val="00307349"/>
    <w:rsid w:val="00317C24"/>
    <w:rsid w:val="0032047D"/>
    <w:rsid w:val="0032510D"/>
    <w:rsid w:val="00333D9D"/>
    <w:rsid w:val="00342E75"/>
    <w:rsid w:val="003434C3"/>
    <w:rsid w:val="00351BC3"/>
    <w:rsid w:val="00352CB2"/>
    <w:rsid w:val="003545FA"/>
    <w:rsid w:val="00354A2C"/>
    <w:rsid w:val="00357782"/>
    <w:rsid w:val="0038439C"/>
    <w:rsid w:val="00386291"/>
    <w:rsid w:val="003865A5"/>
    <w:rsid w:val="00386E05"/>
    <w:rsid w:val="00393F9F"/>
    <w:rsid w:val="00397B09"/>
    <w:rsid w:val="003A1CB5"/>
    <w:rsid w:val="003A37FC"/>
    <w:rsid w:val="003A5494"/>
    <w:rsid w:val="003B1EB6"/>
    <w:rsid w:val="003C14C4"/>
    <w:rsid w:val="003C2DC4"/>
    <w:rsid w:val="003D047F"/>
    <w:rsid w:val="003D08E7"/>
    <w:rsid w:val="003D1F29"/>
    <w:rsid w:val="003D2500"/>
    <w:rsid w:val="003D489F"/>
    <w:rsid w:val="003E22B3"/>
    <w:rsid w:val="003E5C62"/>
    <w:rsid w:val="003E6CF2"/>
    <w:rsid w:val="003F1E08"/>
    <w:rsid w:val="003F4663"/>
    <w:rsid w:val="003F5FE2"/>
    <w:rsid w:val="003F6D00"/>
    <w:rsid w:val="004034A1"/>
    <w:rsid w:val="00404F96"/>
    <w:rsid w:val="00407070"/>
    <w:rsid w:val="004337FD"/>
    <w:rsid w:val="00434918"/>
    <w:rsid w:val="004367C3"/>
    <w:rsid w:val="004372E3"/>
    <w:rsid w:val="00440678"/>
    <w:rsid w:val="004414CE"/>
    <w:rsid w:val="00442A50"/>
    <w:rsid w:val="004563BC"/>
    <w:rsid w:val="00460140"/>
    <w:rsid w:val="00466865"/>
    <w:rsid w:val="00473946"/>
    <w:rsid w:val="004B38F2"/>
    <w:rsid w:val="004B5F0B"/>
    <w:rsid w:val="004D32B9"/>
    <w:rsid w:val="004D407F"/>
    <w:rsid w:val="004D5035"/>
    <w:rsid w:val="004D7F15"/>
    <w:rsid w:val="004E11E1"/>
    <w:rsid w:val="004E28D6"/>
    <w:rsid w:val="004E4232"/>
    <w:rsid w:val="004F202E"/>
    <w:rsid w:val="004F5577"/>
    <w:rsid w:val="00500DFC"/>
    <w:rsid w:val="005014FC"/>
    <w:rsid w:val="005047CF"/>
    <w:rsid w:val="00511A34"/>
    <w:rsid w:val="00522800"/>
    <w:rsid w:val="005256DF"/>
    <w:rsid w:val="00527E34"/>
    <w:rsid w:val="005318A3"/>
    <w:rsid w:val="005344DB"/>
    <w:rsid w:val="00535D84"/>
    <w:rsid w:val="005454BC"/>
    <w:rsid w:val="00546FAD"/>
    <w:rsid w:val="005476EF"/>
    <w:rsid w:val="00551DB5"/>
    <w:rsid w:val="005552F9"/>
    <w:rsid w:val="00562DB0"/>
    <w:rsid w:val="00567079"/>
    <w:rsid w:val="00572C4B"/>
    <w:rsid w:val="005852E5"/>
    <w:rsid w:val="005854E7"/>
    <w:rsid w:val="00586951"/>
    <w:rsid w:val="00591E1F"/>
    <w:rsid w:val="005A1CD4"/>
    <w:rsid w:val="005A3E4C"/>
    <w:rsid w:val="005A573F"/>
    <w:rsid w:val="005A676F"/>
    <w:rsid w:val="005A7589"/>
    <w:rsid w:val="005B1AAE"/>
    <w:rsid w:val="005B1D2D"/>
    <w:rsid w:val="005B32B7"/>
    <w:rsid w:val="005B3AF2"/>
    <w:rsid w:val="005B5801"/>
    <w:rsid w:val="005B6582"/>
    <w:rsid w:val="005C22EC"/>
    <w:rsid w:val="005C25E0"/>
    <w:rsid w:val="005D4C28"/>
    <w:rsid w:val="005E06F5"/>
    <w:rsid w:val="005F1B88"/>
    <w:rsid w:val="005F31B3"/>
    <w:rsid w:val="005F79A3"/>
    <w:rsid w:val="00605CD4"/>
    <w:rsid w:val="00607171"/>
    <w:rsid w:val="00607277"/>
    <w:rsid w:val="00610524"/>
    <w:rsid w:val="00610B6F"/>
    <w:rsid w:val="00623558"/>
    <w:rsid w:val="00636A0F"/>
    <w:rsid w:val="00644687"/>
    <w:rsid w:val="006572EC"/>
    <w:rsid w:val="006626A5"/>
    <w:rsid w:val="006661A7"/>
    <w:rsid w:val="00692FB6"/>
    <w:rsid w:val="00694186"/>
    <w:rsid w:val="006A1D71"/>
    <w:rsid w:val="006B0530"/>
    <w:rsid w:val="006B2FF4"/>
    <w:rsid w:val="006C3147"/>
    <w:rsid w:val="006D5152"/>
    <w:rsid w:val="006E33EB"/>
    <w:rsid w:val="006E3DF4"/>
    <w:rsid w:val="006E6CA3"/>
    <w:rsid w:val="006F3662"/>
    <w:rsid w:val="006F5964"/>
    <w:rsid w:val="00702510"/>
    <w:rsid w:val="007110AD"/>
    <w:rsid w:val="00713039"/>
    <w:rsid w:val="00715BC0"/>
    <w:rsid w:val="00734D5F"/>
    <w:rsid w:val="00741C90"/>
    <w:rsid w:val="007452F8"/>
    <w:rsid w:val="00747F16"/>
    <w:rsid w:val="00751A27"/>
    <w:rsid w:val="00756191"/>
    <w:rsid w:val="007844E2"/>
    <w:rsid w:val="007A63EC"/>
    <w:rsid w:val="007A7533"/>
    <w:rsid w:val="007B1A2A"/>
    <w:rsid w:val="007B20B1"/>
    <w:rsid w:val="007B2B75"/>
    <w:rsid w:val="007C3060"/>
    <w:rsid w:val="007C4516"/>
    <w:rsid w:val="007C7827"/>
    <w:rsid w:val="007D2ED6"/>
    <w:rsid w:val="007E78D3"/>
    <w:rsid w:val="00801814"/>
    <w:rsid w:val="008078C9"/>
    <w:rsid w:val="00813CBA"/>
    <w:rsid w:val="00823317"/>
    <w:rsid w:val="008260EF"/>
    <w:rsid w:val="008312D9"/>
    <w:rsid w:val="008362B3"/>
    <w:rsid w:val="00844C08"/>
    <w:rsid w:val="00850052"/>
    <w:rsid w:val="00855399"/>
    <w:rsid w:val="00860F30"/>
    <w:rsid w:val="00863512"/>
    <w:rsid w:val="0087142C"/>
    <w:rsid w:val="00873889"/>
    <w:rsid w:val="00880D35"/>
    <w:rsid w:val="00885575"/>
    <w:rsid w:val="008856AA"/>
    <w:rsid w:val="00894F7D"/>
    <w:rsid w:val="008A126B"/>
    <w:rsid w:val="008A1EB7"/>
    <w:rsid w:val="008B7939"/>
    <w:rsid w:val="008C7211"/>
    <w:rsid w:val="008D47D5"/>
    <w:rsid w:val="008F19F0"/>
    <w:rsid w:val="008F30F1"/>
    <w:rsid w:val="008F69EB"/>
    <w:rsid w:val="00901669"/>
    <w:rsid w:val="009174CA"/>
    <w:rsid w:val="00920D0F"/>
    <w:rsid w:val="00925DE3"/>
    <w:rsid w:val="00930761"/>
    <w:rsid w:val="0093295F"/>
    <w:rsid w:val="009365AD"/>
    <w:rsid w:val="00952DD2"/>
    <w:rsid w:val="00957222"/>
    <w:rsid w:val="0096313A"/>
    <w:rsid w:val="00965567"/>
    <w:rsid w:val="0098070C"/>
    <w:rsid w:val="00980ACC"/>
    <w:rsid w:val="00981A71"/>
    <w:rsid w:val="009A2E71"/>
    <w:rsid w:val="009A5CC1"/>
    <w:rsid w:val="009B2A94"/>
    <w:rsid w:val="009D2B9D"/>
    <w:rsid w:val="009F13DE"/>
    <w:rsid w:val="009F32B4"/>
    <w:rsid w:val="009F41B6"/>
    <w:rsid w:val="009F7502"/>
    <w:rsid w:val="00A027C0"/>
    <w:rsid w:val="00A02AD6"/>
    <w:rsid w:val="00A0436F"/>
    <w:rsid w:val="00A05B62"/>
    <w:rsid w:val="00A1232A"/>
    <w:rsid w:val="00A23877"/>
    <w:rsid w:val="00A31B1E"/>
    <w:rsid w:val="00A34FEB"/>
    <w:rsid w:val="00A35ACF"/>
    <w:rsid w:val="00A3603F"/>
    <w:rsid w:val="00A377D5"/>
    <w:rsid w:val="00A47A3A"/>
    <w:rsid w:val="00A50B50"/>
    <w:rsid w:val="00A529E1"/>
    <w:rsid w:val="00A53685"/>
    <w:rsid w:val="00A5431D"/>
    <w:rsid w:val="00A567B0"/>
    <w:rsid w:val="00A5727A"/>
    <w:rsid w:val="00A57553"/>
    <w:rsid w:val="00A627CA"/>
    <w:rsid w:val="00A83237"/>
    <w:rsid w:val="00A847FA"/>
    <w:rsid w:val="00A95AE6"/>
    <w:rsid w:val="00A96E3A"/>
    <w:rsid w:val="00A975A0"/>
    <w:rsid w:val="00AB0B4B"/>
    <w:rsid w:val="00AB27A2"/>
    <w:rsid w:val="00AD50B1"/>
    <w:rsid w:val="00AE5502"/>
    <w:rsid w:val="00AF1659"/>
    <w:rsid w:val="00AF397B"/>
    <w:rsid w:val="00AF40A2"/>
    <w:rsid w:val="00B07992"/>
    <w:rsid w:val="00B12ECC"/>
    <w:rsid w:val="00B13618"/>
    <w:rsid w:val="00B163AC"/>
    <w:rsid w:val="00B459DA"/>
    <w:rsid w:val="00B519D9"/>
    <w:rsid w:val="00B60FD8"/>
    <w:rsid w:val="00B63D31"/>
    <w:rsid w:val="00B76661"/>
    <w:rsid w:val="00B87D64"/>
    <w:rsid w:val="00B90D9A"/>
    <w:rsid w:val="00B9387D"/>
    <w:rsid w:val="00B93B0E"/>
    <w:rsid w:val="00B964C9"/>
    <w:rsid w:val="00BB600F"/>
    <w:rsid w:val="00BC1FC7"/>
    <w:rsid w:val="00BC70AC"/>
    <w:rsid w:val="00BC7764"/>
    <w:rsid w:val="00BC7FE5"/>
    <w:rsid w:val="00BD00F5"/>
    <w:rsid w:val="00BD28F0"/>
    <w:rsid w:val="00BD6971"/>
    <w:rsid w:val="00BE390A"/>
    <w:rsid w:val="00BE6B25"/>
    <w:rsid w:val="00BF0937"/>
    <w:rsid w:val="00BF5C7B"/>
    <w:rsid w:val="00BF6A50"/>
    <w:rsid w:val="00C03CBE"/>
    <w:rsid w:val="00C136A8"/>
    <w:rsid w:val="00C1448F"/>
    <w:rsid w:val="00C172E1"/>
    <w:rsid w:val="00C439E6"/>
    <w:rsid w:val="00C45DDB"/>
    <w:rsid w:val="00C47A6B"/>
    <w:rsid w:val="00C47CEC"/>
    <w:rsid w:val="00C529F1"/>
    <w:rsid w:val="00C55EBC"/>
    <w:rsid w:val="00C85425"/>
    <w:rsid w:val="00C87D05"/>
    <w:rsid w:val="00C931A8"/>
    <w:rsid w:val="00C9695F"/>
    <w:rsid w:val="00CA1A02"/>
    <w:rsid w:val="00CA715D"/>
    <w:rsid w:val="00CB1FBC"/>
    <w:rsid w:val="00CC5054"/>
    <w:rsid w:val="00CE04A4"/>
    <w:rsid w:val="00CE6E51"/>
    <w:rsid w:val="00CF1217"/>
    <w:rsid w:val="00CF3345"/>
    <w:rsid w:val="00CF55EC"/>
    <w:rsid w:val="00CF62E8"/>
    <w:rsid w:val="00CF7BDB"/>
    <w:rsid w:val="00D046FA"/>
    <w:rsid w:val="00D079C7"/>
    <w:rsid w:val="00D119BD"/>
    <w:rsid w:val="00D11CD0"/>
    <w:rsid w:val="00D13AA3"/>
    <w:rsid w:val="00D15F45"/>
    <w:rsid w:val="00D33C9C"/>
    <w:rsid w:val="00D37E2A"/>
    <w:rsid w:val="00D4583C"/>
    <w:rsid w:val="00D4696D"/>
    <w:rsid w:val="00D50D81"/>
    <w:rsid w:val="00D56BCF"/>
    <w:rsid w:val="00D62733"/>
    <w:rsid w:val="00D7377A"/>
    <w:rsid w:val="00D7751A"/>
    <w:rsid w:val="00D911CB"/>
    <w:rsid w:val="00D92548"/>
    <w:rsid w:val="00D92AC5"/>
    <w:rsid w:val="00D932CB"/>
    <w:rsid w:val="00D9684B"/>
    <w:rsid w:val="00DA2F6F"/>
    <w:rsid w:val="00DA42BA"/>
    <w:rsid w:val="00DA65CB"/>
    <w:rsid w:val="00DB0EB9"/>
    <w:rsid w:val="00DB252A"/>
    <w:rsid w:val="00DB7B3B"/>
    <w:rsid w:val="00DC2C2B"/>
    <w:rsid w:val="00DC3077"/>
    <w:rsid w:val="00DD3698"/>
    <w:rsid w:val="00DE555A"/>
    <w:rsid w:val="00DE5DC0"/>
    <w:rsid w:val="00DF2299"/>
    <w:rsid w:val="00E02F9C"/>
    <w:rsid w:val="00E07ADE"/>
    <w:rsid w:val="00E11E24"/>
    <w:rsid w:val="00E2647F"/>
    <w:rsid w:val="00E3565C"/>
    <w:rsid w:val="00E37133"/>
    <w:rsid w:val="00E434B8"/>
    <w:rsid w:val="00E54D90"/>
    <w:rsid w:val="00E5556D"/>
    <w:rsid w:val="00E55955"/>
    <w:rsid w:val="00E60EA4"/>
    <w:rsid w:val="00E64CF4"/>
    <w:rsid w:val="00E7206F"/>
    <w:rsid w:val="00E73B4F"/>
    <w:rsid w:val="00E81C09"/>
    <w:rsid w:val="00E93F97"/>
    <w:rsid w:val="00EA2603"/>
    <w:rsid w:val="00EA5F5D"/>
    <w:rsid w:val="00EA7BC9"/>
    <w:rsid w:val="00EB1486"/>
    <w:rsid w:val="00EB717E"/>
    <w:rsid w:val="00EC68EB"/>
    <w:rsid w:val="00EE31EE"/>
    <w:rsid w:val="00EE54B1"/>
    <w:rsid w:val="00EF0F18"/>
    <w:rsid w:val="00EF16E5"/>
    <w:rsid w:val="00F00477"/>
    <w:rsid w:val="00F02B9D"/>
    <w:rsid w:val="00F03DBD"/>
    <w:rsid w:val="00F0462C"/>
    <w:rsid w:val="00F145C9"/>
    <w:rsid w:val="00F172D2"/>
    <w:rsid w:val="00F31ABC"/>
    <w:rsid w:val="00F34275"/>
    <w:rsid w:val="00F37C21"/>
    <w:rsid w:val="00F559F4"/>
    <w:rsid w:val="00F55DB4"/>
    <w:rsid w:val="00F57B33"/>
    <w:rsid w:val="00F57FF5"/>
    <w:rsid w:val="00F62BA7"/>
    <w:rsid w:val="00F64D7E"/>
    <w:rsid w:val="00F705AF"/>
    <w:rsid w:val="00F94FB1"/>
    <w:rsid w:val="00F967C6"/>
    <w:rsid w:val="00F97175"/>
    <w:rsid w:val="00FA1350"/>
    <w:rsid w:val="00FB0513"/>
    <w:rsid w:val="00FB1411"/>
    <w:rsid w:val="00FC188A"/>
    <w:rsid w:val="00FC5A35"/>
    <w:rsid w:val="00FC5E06"/>
    <w:rsid w:val="00FD1D41"/>
    <w:rsid w:val="00FD1FC2"/>
    <w:rsid w:val="00FD5E4B"/>
    <w:rsid w:val="00FE4B73"/>
    <w:rsid w:val="00FE6292"/>
    <w:rsid w:val="00FF27FD"/>
    <w:rsid w:val="00FF3D87"/>
    <w:rsid w:val="013F575F"/>
    <w:rsid w:val="01E116F6"/>
    <w:rsid w:val="02616303"/>
    <w:rsid w:val="05D70F18"/>
    <w:rsid w:val="064C0115"/>
    <w:rsid w:val="07E87E9D"/>
    <w:rsid w:val="0A6A014C"/>
    <w:rsid w:val="0BDB540D"/>
    <w:rsid w:val="0CEF1396"/>
    <w:rsid w:val="0D472AD1"/>
    <w:rsid w:val="0DF22386"/>
    <w:rsid w:val="0F605059"/>
    <w:rsid w:val="104139E7"/>
    <w:rsid w:val="11565E1E"/>
    <w:rsid w:val="15B157A1"/>
    <w:rsid w:val="176A222E"/>
    <w:rsid w:val="17A77C93"/>
    <w:rsid w:val="185931F4"/>
    <w:rsid w:val="1A05714B"/>
    <w:rsid w:val="1C3C0A63"/>
    <w:rsid w:val="1DC31A39"/>
    <w:rsid w:val="1EB61E59"/>
    <w:rsid w:val="1F1C1E39"/>
    <w:rsid w:val="22F84F95"/>
    <w:rsid w:val="232D165B"/>
    <w:rsid w:val="267E364F"/>
    <w:rsid w:val="283B2554"/>
    <w:rsid w:val="298D1BE0"/>
    <w:rsid w:val="2A8279C5"/>
    <w:rsid w:val="2C2A7317"/>
    <w:rsid w:val="2D00398C"/>
    <w:rsid w:val="2D5469CB"/>
    <w:rsid w:val="31AA0AB0"/>
    <w:rsid w:val="31F44C13"/>
    <w:rsid w:val="3212265E"/>
    <w:rsid w:val="32B12B14"/>
    <w:rsid w:val="35187D17"/>
    <w:rsid w:val="369477F8"/>
    <w:rsid w:val="36FF63EB"/>
    <w:rsid w:val="38E5139C"/>
    <w:rsid w:val="3A99097F"/>
    <w:rsid w:val="3EB9C2BC"/>
    <w:rsid w:val="3EF2538E"/>
    <w:rsid w:val="3F7E9C76"/>
    <w:rsid w:val="41EC2D55"/>
    <w:rsid w:val="44341478"/>
    <w:rsid w:val="488107D2"/>
    <w:rsid w:val="4B9B3C1F"/>
    <w:rsid w:val="4D3A75B7"/>
    <w:rsid w:val="4DE77F70"/>
    <w:rsid w:val="4DFFF584"/>
    <w:rsid w:val="4FBB8C3A"/>
    <w:rsid w:val="509941F9"/>
    <w:rsid w:val="511A16B2"/>
    <w:rsid w:val="56B924FA"/>
    <w:rsid w:val="57464B90"/>
    <w:rsid w:val="57797653"/>
    <w:rsid w:val="59C27524"/>
    <w:rsid w:val="5E526202"/>
    <w:rsid w:val="62D26B05"/>
    <w:rsid w:val="62E0167B"/>
    <w:rsid w:val="63B21350"/>
    <w:rsid w:val="65557C07"/>
    <w:rsid w:val="65A4524D"/>
    <w:rsid w:val="66BD54F4"/>
    <w:rsid w:val="6AD77B48"/>
    <w:rsid w:val="6BAF755C"/>
    <w:rsid w:val="6C902772"/>
    <w:rsid w:val="6D946570"/>
    <w:rsid w:val="6EAC77C4"/>
    <w:rsid w:val="74507DD7"/>
    <w:rsid w:val="764C7450"/>
    <w:rsid w:val="765B6F76"/>
    <w:rsid w:val="76B55588"/>
    <w:rsid w:val="789A6BE3"/>
    <w:rsid w:val="78E269F1"/>
    <w:rsid w:val="79227D5C"/>
    <w:rsid w:val="7B12209A"/>
    <w:rsid w:val="7C2A2176"/>
    <w:rsid w:val="7D3F79DF"/>
    <w:rsid w:val="7EAD6F62"/>
    <w:rsid w:val="7F64415D"/>
    <w:rsid w:val="B2D7C5E2"/>
    <w:rsid w:val="BF9C731C"/>
    <w:rsid w:val="CFFD6892"/>
    <w:rsid w:val="D29E5966"/>
    <w:rsid w:val="DE3590E8"/>
    <w:rsid w:val="DF3D2E12"/>
    <w:rsid w:val="DFD75427"/>
    <w:rsid w:val="E7FE3CED"/>
    <w:rsid w:val="EBDF6C6D"/>
    <w:rsid w:val="FFEBA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80" w:firstLineChars="200"/>
      <w:jc w:val="both"/>
    </w:pPr>
    <w:rPr>
      <w:rFonts w:ascii="仿宋_GB2312" w:hAnsi="宋体" w:eastAsia="仿宋_GB2312" w:cs="仿宋_GB2312"/>
      <w:color w:val="000000"/>
      <w:kern w:val="2"/>
      <w:sz w:val="32"/>
      <w:szCs w:val="32"/>
      <w:lang w:val="en-US" w:eastAsia="zh-CN" w:bidi="ar-SA"/>
    </w:rPr>
  </w:style>
  <w:style w:type="paragraph" w:styleId="3">
    <w:name w:val="heading 1"/>
    <w:basedOn w:val="1"/>
    <w:next w:val="1"/>
    <w:link w:val="19"/>
    <w:qFormat/>
    <w:uiPriority w:val="99"/>
    <w:pPr>
      <w:keepNext/>
      <w:keepLines/>
      <w:spacing w:line="580" w:lineRule="exact"/>
      <w:ind w:firstLine="200"/>
      <w:jc w:val="left"/>
      <w:outlineLvl w:val="0"/>
    </w:pPr>
    <w:rPr>
      <w:rFonts w:ascii="黑体" w:hAnsi="黑体" w:eastAsia="黑体" w:cs="黑体"/>
      <w:kern w:val="44"/>
    </w:rPr>
  </w:style>
  <w:style w:type="paragraph" w:styleId="4">
    <w:name w:val="heading 2"/>
    <w:basedOn w:val="1"/>
    <w:next w:val="1"/>
    <w:link w:val="17"/>
    <w:qFormat/>
    <w:uiPriority w:val="99"/>
    <w:pPr>
      <w:keepLines/>
      <w:spacing w:line="240" w:lineRule="auto"/>
      <w:ind w:firstLine="200"/>
      <w:jc w:val="left"/>
      <w:outlineLvl w:val="1"/>
    </w:pPr>
    <w:rPr>
      <w:rFonts w:hAnsi="黑体"/>
    </w:rPr>
  </w:style>
  <w:style w:type="paragraph" w:styleId="2">
    <w:name w:val="heading 4"/>
    <w:basedOn w:val="1"/>
    <w:next w:val="1"/>
    <w:unhideWhenUsed/>
    <w:qFormat/>
    <w:locked/>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4"/>
    <w:qFormat/>
    <w:uiPriority w:val="0"/>
    <w:pPr>
      <w:spacing w:line="240" w:lineRule="auto"/>
      <w:ind w:firstLine="0" w:firstLineChars="0"/>
    </w:pPr>
    <w:rPr>
      <w:rFonts w:ascii="Calibri" w:hAnsi="Calibri" w:eastAsia="文星仿宋" w:cs="Times New Roman"/>
      <w:color w:val="auto"/>
      <w:szCs w:val="22"/>
    </w:rPr>
  </w:style>
  <w:style w:type="paragraph" w:styleId="6">
    <w:name w:val="Date"/>
    <w:basedOn w:val="1"/>
    <w:next w:val="1"/>
    <w:link w:val="20"/>
    <w:unhideWhenUsed/>
    <w:qFormat/>
    <w:uiPriority w:val="99"/>
    <w:pPr>
      <w:ind w:left="100" w:leftChars="2500"/>
    </w:pPr>
  </w:style>
  <w:style w:type="paragraph" w:styleId="7">
    <w:name w:val="Balloon Text"/>
    <w:basedOn w:val="1"/>
    <w:link w:val="25"/>
    <w:unhideWhenUsed/>
    <w:qFormat/>
    <w:uiPriority w:val="99"/>
    <w:pPr>
      <w:spacing w:line="240" w:lineRule="auto"/>
    </w:pPr>
    <w:rPr>
      <w:sz w:val="18"/>
      <w:szCs w:val="18"/>
    </w:rPr>
  </w:style>
  <w:style w:type="paragraph" w:styleId="8">
    <w:name w:val="footer"/>
    <w:basedOn w:val="1"/>
    <w:link w:val="16"/>
    <w:unhideWhenUsed/>
    <w:qFormat/>
    <w:uiPriority w:val="99"/>
    <w:pPr>
      <w:tabs>
        <w:tab w:val="center" w:pos="4153"/>
        <w:tab w:val="right" w:pos="8306"/>
      </w:tabs>
      <w:snapToGrid w:val="0"/>
      <w:spacing w:line="240" w:lineRule="auto"/>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Normal (Web)"/>
    <w:basedOn w:val="1"/>
    <w:qFormat/>
    <w:uiPriority w:val="0"/>
    <w:pPr>
      <w:spacing w:line="240" w:lineRule="auto"/>
      <w:ind w:firstLine="0" w:firstLineChars="0"/>
    </w:pPr>
    <w:rPr>
      <w:rFonts w:ascii="Times New Roman" w:hAnsi="Times New Roman" w:eastAsia="宋体" w:cs="Times New Roman"/>
      <w:color w:val="auto"/>
      <w:sz w:val="24"/>
      <w:szCs w:val="24"/>
    </w:rPr>
  </w:style>
  <w:style w:type="paragraph" w:styleId="11">
    <w:name w:val="Title"/>
    <w:basedOn w:val="1"/>
    <w:next w:val="1"/>
    <w:link w:val="18"/>
    <w:qFormat/>
    <w:uiPriority w:val="99"/>
    <w:pPr>
      <w:spacing w:afterLines="100" w:line="700" w:lineRule="exact"/>
      <w:ind w:firstLine="0" w:firstLineChars="0"/>
      <w:jc w:val="center"/>
      <w:outlineLvl w:val="0"/>
    </w:pPr>
    <w:rPr>
      <w:rFonts w:ascii="Calibri Light" w:hAnsi="Calibri Light" w:eastAsia="方正小标宋简体" w:cs="Calibri Light"/>
      <w:sz w:val="44"/>
      <w:szCs w:val="44"/>
    </w:rPr>
  </w:style>
  <w:style w:type="table" w:styleId="13">
    <w:name w:val="Table Grid"/>
    <w:unhideWhenUsed/>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5">
    <w:name w:val="page number"/>
    <w:qFormat/>
    <w:uiPriority w:val="0"/>
  </w:style>
  <w:style w:type="character" w:customStyle="1" w:styleId="16">
    <w:name w:val="页脚 Char"/>
    <w:link w:val="8"/>
    <w:qFormat/>
    <w:uiPriority w:val="99"/>
    <w:rPr>
      <w:rFonts w:ascii="仿宋_GB2312" w:hAnsi="宋体" w:eastAsia="仿宋_GB2312" w:cs="仿宋_GB2312"/>
      <w:color w:val="000000"/>
      <w:sz w:val="18"/>
      <w:szCs w:val="18"/>
    </w:rPr>
  </w:style>
  <w:style w:type="character" w:customStyle="1" w:styleId="17">
    <w:name w:val="标题 2 Char"/>
    <w:link w:val="4"/>
    <w:qFormat/>
    <w:locked/>
    <w:uiPriority w:val="99"/>
    <w:rPr>
      <w:rFonts w:ascii="仿宋_GB2312" w:hAnsi="黑体" w:eastAsia="仿宋_GB2312" w:cs="仿宋_GB2312"/>
      <w:color w:val="000000"/>
      <w:sz w:val="28"/>
      <w:szCs w:val="28"/>
    </w:rPr>
  </w:style>
  <w:style w:type="character" w:customStyle="1" w:styleId="18">
    <w:name w:val="标题 Char"/>
    <w:link w:val="11"/>
    <w:qFormat/>
    <w:locked/>
    <w:uiPriority w:val="99"/>
    <w:rPr>
      <w:rFonts w:ascii="Calibri Light" w:hAnsi="Calibri Light" w:eastAsia="方正小标宋简体" w:cs="Calibri Light"/>
      <w:color w:val="000000"/>
      <w:sz w:val="32"/>
      <w:szCs w:val="32"/>
    </w:rPr>
  </w:style>
  <w:style w:type="character" w:customStyle="1" w:styleId="19">
    <w:name w:val="标题 1 Char"/>
    <w:link w:val="3"/>
    <w:qFormat/>
    <w:locked/>
    <w:uiPriority w:val="99"/>
    <w:rPr>
      <w:rFonts w:ascii="黑体" w:hAnsi="黑体" w:eastAsia="黑体" w:cs="黑体"/>
      <w:color w:val="000000"/>
      <w:kern w:val="44"/>
      <w:sz w:val="32"/>
      <w:szCs w:val="32"/>
    </w:rPr>
  </w:style>
  <w:style w:type="character" w:customStyle="1" w:styleId="20">
    <w:name w:val="日期 Char"/>
    <w:link w:val="6"/>
    <w:semiHidden/>
    <w:qFormat/>
    <w:uiPriority w:val="99"/>
    <w:rPr>
      <w:rFonts w:ascii="仿宋_GB2312" w:hAnsi="宋体" w:eastAsia="仿宋_GB2312" w:cs="仿宋_GB2312"/>
      <w:color w:val="000000"/>
      <w:kern w:val="2"/>
      <w:sz w:val="32"/>
      <w:szCs w:val="32"/>
    </w:rPr>
  </w:style>
  <w:style w:type="character" w:customStyle="1" w:styleId="21">
    <w:name w:val="页眉 Char"/>
    <w:link w:val="9"/>
    <w:qFormat/>
    <w:uiPriority w:val="99"/>
    <w:rPr>
      <w:rFonts w:ascii="仿宋_GB2312" w:hAnsi="宋体" w:eastAsia="仿宋_GB2312" w:cs="仿宋_GB2312"/>
      <w:color w:val="000000"/>
      <w:sz w:val="18"/>
      <w:szCs w:val="18"/>
    </w:rPr>
  </w:style>
  <w:style w:type="character" w:customStyle="1" w:styleId="22">
    <w:name w:val="注解 Char"/>
    <w:link w:val="23"/>
    <w:qFormat/>
    <w:locked/>
    <w:uiPriority w:val="99"/>
    <w:rPr>
      <w:rFonts w:ascii="宋体" w:hAnsi="宋体" w:eastAsia="楷体" w:cs="宋体"/>
      <w:color w:val="000000"/>
      <w:sz w:val="24"/>
      <w:szCs w:val="24"/>
    </w:rPr>
  </w:style>
  <w:style w:type="paragraph" w:customStyle="1" w:styleId="23">
    <w:name w:val="注解"/>
    <w:basedOn w:val="1"/>
    <w:link w:val="22"/>
    <w:qFormat/>
    <w:uiPriority w:val="99"/>
    <w:pPr>
      <w:spacing w:line="240" w:lineRule="auto"/>
      <w:ind w:firstLine="200"/>
    </w:pPr>
    <w:rPr>
      <w:rFonts w:ascii="宋体" w:eastAsia="楷体" w:cs="宋体"/>
      <w:sz w:val="28"/>
      <w:szCs w:val="28"/>
    </w:rPr>
  </w:style>
  <w:style w:type="character" w:customStyle="1" w:styleId="24">
    <w:name w:val="正文文本 Char"/>
    <w:link w:val="5"/>
    <w:qFormat/>
    <w:uiPriority w:val="0"/>
    <w:rPr>
      <w:rFonts w:eastAsia="文星仿宋"/>
      <w:kern w:val="2"/>
      <w:sz w:val="32"/>
      <w:szCs w:val="22"/>
    </w:rPr>
  </w:style>
  <w:style w:type="character" w:customStyle="1" w:styleId="25">
    <w:name w:val="批注框文本 Char"/>
    <w:link w:val="7"/>
    <w:semiHidden/>
    <w:qFormat/>
    <w:uiPriority w:val="99"/>
    <w:rPr>
      <w:rFonts w:ascii="仿宋_GB2312" w:hAnsi="宋体" w:eastAsia="仿宋_GB2312" w:cs="仿宋_GB2312"/>
      <w:color w:val="000000"/>
      <w:kern w:val="2"/>
      <w:sz w:val="18"/>
      <w:szCs w:val="18"/>
    </w:rPr>
  </w:style>
  <w:style w:type="paragraph" w:customStyle="1" w:styleId="26">
    <w:name w:val="TOC 标题1"/>
    <w:basedOn w:val="3"/>
    <w:next w:val="1"/>
    <w:qFormat/>
    <w:uiPriority w:val="99"/>
    <w:pPr>
      <w:widowControl/>
      <w:spacing w:line="276" w:lineRule="auto"/>
      <w:outlineLvl w:val="9"/>
    </w:pPr>
    <w:rPr>
      <w:rFonts w:ascii="Calibri Light" w:hAnsi="Calibri Light" w:eastAsia="宋体" w:cs="Calibri Light"/>
      <w:b/>
      <w:bCs/>
      <w:color w:val="2E74B5"/>
      <w:kern w:val="0"/>
      <w:sz w:val="28"/>
      <w:szCs w:val="28"/>
    </w:rPr>
  </w:style>
  <w:style w:type="paragraph" w:styleId="27">
    <w:name w:val="No Spacing"/>
    <w:qFormat/>
    <w:uiPriority w:val="99"/>
    <w:pPr>
      <w:widowControl w:val="0"/>
      <w:jc w:val="center"/>
    </w:pPr>
    <w:rPr>
      <w:rFonts w:ascii="宋体" w:hAnsi="宋体" w:eastAsia="仿宋_GB2312" w:cs="宋体"/>
      <w:b/>
      <w:bCs/>
      <w:color w:val="000000"/>
      <w:kern w:val="2"/>
      <w:sz w:val="32"/>
      <w:szCs w:val="32"/>
      <w:lang w:val="en-US" w:eastAsia="zh-CN" w:bidi="ar-SA"/>
    </w:rPr>
  </w:style>
  <w:style w:type="paragraph" w:styleId="28">
    <w:name w:val="List Paragraph"/>
    <w:basedOn w:val="1"/>
    <w:qFormat/>
    <w:uiPriority w:val="99"/>
    <w:pPr>
      <w:ind w:firstLine="420"/>
    </w:pPr>
  </w:style>
  <w:style w:type="paragraph" w:customStyle="1" w:styleId="29">
    <w:name w:val="Char Char Char Char Char Char Char"/>
    <w:basedOn w:val="1"/>
    <w:qFormat/>
    <w:uiPriority w:val="99"/>
    <w:pPr>
      <w:ind w:firstLine="0" w:firstLineChars="0"/>
    </w:pPr>
    <w:rPr>
      <w:rFonts w:ascii="Times New Roman" w:hAnsi="Times New Roman" w:eastAsia="宋体" w:cs="Times New Roman"/>
      <w:color w:val="auto"/>
      <w:sz w:val="21"/>
      <w:szCs w:val="21"/>
    </w:rPr>
  </w:style>
  <w:style w:type="paragraph" w:customStyle="1" w:styleId="30">
    <w:name w:val="默认段落字体 Para Char Char Char Char"/>
    <w:basedOn w:val="1"/>
    <w:qFormat/>
    <w:uiPriority w:val="0"/>
    <w:pPr>
      <w:ind w:firstLine="200"/>
    </w:pPr>
    <w:rPr>
      <w:rFonts w:ascii="Times New Roman" w:hAnsi="Times New Roman" w:eastAsia="宋体" w:cs="Times New Roman"/>
      <w:color w:val="auto"/>
      <w:sz w:val="21"/>
      <w:szCs w:val="24"/>
    </w:rPr>
  </w:style>
  <w:style w:type="paragraph" w:customStyle="1" w:styleId="31">
    <w:name w:val="表格"/>
    <w:basedOn w:val="1"/>
    <w:qFormat/>
    <w:uiPriority w:val="99"/>
    <w:pPr>
      <w:spacing w:line="240" w:lineRule="atLeast"/>
      <w:ind w:firstLine="0" w:firstLineChars="0"/>
      <w:jc w:val="center"/>
    </w:pPr>
    <w:rPr>
      <w:sz w:val="28"/>
      <w:szCs w:val="28"/>
    </w:rPr>
  </w:style>
  <w:style w:type="character" w:customStyle="1" w:styleId="32">
    <w:name w:val="font91"/>
    <w:qFormat/>
    <w:uiPriority w:val="99"/>
    <w:rPr>
      <w:rFonts w:ascii="仿宋_GB2312" w:eastAsia="仿宋_GB2312"/>
      <w:color w:val="000000"/>
      <w:sz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1638</Words>
  <Characters>9339</Characters>
  <Lines>77</Lines>
  <Paragraphs>21</Paragraphs>
  <TotalTime>4</TotalTime>
  <ScaleCrop>false</ScaleCrop>
  <LinksUpToDate>false</LinksUpToDate>
  <CharactersWithSpaces>10956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2020-04-04T14:33:00Z</dcterms:created>
  <dc:creator>DELL50</dc:creator>
  <cp:lastModifiedBy>港航局（政）</cp:lastModifiedBy>
  <cp:lastPrinted>2022-04-30T23:26:00Z</cp:lastPrinted>
  <dcterms:modified xsi:type="dcterms:W3CDTF">2023-05-15T14:24:05Z</dcterms:modified>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